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18D6A" w14:textId="287A20C5" w:rsidR="00455967" w:rsidRPr="00250C7F" w:rsidRDefault="005268F3" w:rsidP="00891584">
      <w:pPr>
        <w:spacing w:line="276" w:lineRule="auto"/>
        <w:rPr>
          <w:rFonts w:ascii="Times New Roman" w:hAnsi="Times New Roman" w:cs="Times New Roman"/>
          <w:b/>
          <w:bCs/>
          <w:noProof/>
          <w:sz w:val="24"/>
          <w:szCs w:val="24"/>
        </w:rPr>
      </w:pPr>
      <w:r w:rsidRPr="00250C7F">
        <w:rPr>
          <w:rFonts w:ascii="Times New Roman" w:hAnsi="Times New Roman" w:cs="Times New Roman"/>
          <w:b/>
          <w:bCs/>
          <w:noProof/>
          <w:sz w:val="24"/>
          <w:szCs w:val="24"/>
          <w:lang w:eastAsia="ro-RO"/>
        </w:rPr>
        <w:drawing>
          <wp:anchor distT="0" distB="0" distL="114300" distR="114300" simplePos="0" relativeHeight="251658240" behindDoc="0" locked="0" layoutInCell="1" allowOverlap="1" wp14:anchorId="5DF1345D" wp14:editId="67CAE4DF">
            <wp:simplePos x="0" y="0"/>
            <wp:positionH relativeFrom="column">
              <wp:posOffset>-840381</wp:posOffset>
            </wp:positionH>
            <wp:positionV relativeFrom="paragraph">
              <wp:posOffset>-771525</wp:posOffset>
            </wp:positionV>
            <wp:extent cx="7529885" cy="10678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379" cy="10704387"/>
                    </a:xfrm>
                    <a:prstGeom prst="rect">
                      <a:avLst/>
                    </a:prstGeom>
                  </pic:spPr>
                </pic:pic>
              </a:graphicData>
            </a:graphic>
            <wp14:sizeRelH relativeFrom="page">
              <wp14:pctWidth>0</wp14:pctWidth>
            </wp14:sizeRelH>
            <wp14:sizeRelV relativeFrom="page">
              <wp14:pctHeight>0</wp14:pctHeight>
            </wp14:sizeRelV>
          </wp:anchor>
        </w:drawing>
      </w:r>
      <w:r w:rsidR="00455967" w:rsidRPr="00250C7F">
        <w:rPr>
          <w:rFonts w:ascii="Times New Roman" w:hAnsi="Times New Roman" w:cs="Times New Roman"/>
          <w:b/>
          <w:bCs/>
          <w:noProof/>
          <w:sz w:val="24"/>
          <w:szCs w:val="24"/>
        </w:rPr>
        <w:br w:type="page"/>
      </w:r>
    </w:p>
    <w:p w14:paraId="5A5AF75E" w14:textId="77777777" w:rsidR="00B264DE" w:rsidRPr="00250C7F" w:rsidRDefault="00B264DE" w:rsidP="00891584">
      <w:pPr>
        <w:spacing w:after="0" w:line="276" w:lineRule="auto"/>
        <w:jc w:val="both"/>
        <w:rPr>
          <w:rFonts w:ascii="Times New Roman" w:hAnsi="Times New Roman" w:cs="Times New Roman"/>
          <w:b/>
          <w:bCs/>
          <w:noProof/>
          <w:sz w:val="24"/>
          <w:szCs w:val="24"/>
        </w:rPr>
      </w:pPr>
    </w:p>
    <w:p w14:paraId="6ED0C582" w14:textId="77777777" w:rsidR="00455967" w:rsidRPr="00250C7F" w:rsidRDefault="00455967" w:rsidP="00891584">
      <w:pPr>
        <w:spacing w:after="0" w:line="276" w:lineRule="auto"/>
        <w:jc w:val="both"/>
        <w:rPr>
          <w:rFonts w:ascii="Times New Roman" w:hAnsi="Times New Roman" w:cs="Times New Roman"/>
          <w:b/>
          <w:bCs/>
          <w:noProof/>
          <w:sz w:val="24"/>
          <w:szCs w:val="24"/>
        </w:rPr>
      </w:pPr>
      <w:r w:rsidRPr="00250C7F">
        <w:rPr>
          <w:rFonts w:ascii="Times New Roman" w:hAnsi="Times New Roman" w:cs="Times New Roman"/>
          <w:b/>
          <w:bCs/>
          <w:noProof/>
          <w:sz w:val="24"/>
          <w:szCs w:val="24"/>
        </w:rPr>
        <w:t>Editor-coordonator</w:t>
      </w:r>
    </w:p>
    <w:p w14:paraId="5A360FCD" w14:textId="77777777" w:rsidR="00455967" w:rsidRPr="00250C7F" w:rsidRDefault="00455967" w:rsidP="00891584">
      <w:pPr>
        <w:spacing w:after="0" w:line="276" w:lineRule="auto"/>
        <w:jc w:val="both"/>
        <w:rPr>
          <w:rFonts w:ascii="Times New Roman" w:hAnsi="Times New Roman" w:cs="Times New Roman"/>
          <w:bCs/>
          <w:noProof/>
          <w:sz w:val="24"/>
          <w:szCs w:val="24"/>
        </w:rPr>
      </w:pPr>
      <w:r w:rsidRPr="00250C7F">
        <w:rPr>
          <w:rFonts w:ascii="Times New Roman" w:hAnsi="Times New Roman" w:cs="Times New Roman"/>
          <w:bCs/>
          <w:noProof/>
          <w:sz w:val="24"/>
          <w:szCs w:val="24"/>
        </w:rPr>
        <w:t xml:space="preserve">Judecător Gabriela </w:t>
      </w:r>
      <w:r w:rsidR="002B0123" w:rsidRPr="00250C7F">
        <w:rPr>
          <w:rFonts w:ascii="Times New Roman" w:hAnsi="Times New Roman" w:cs="Times New Roman"/>
          <w:bCs/>
          <w:noProof/>
          <w:sz w:val="24"/>
          <w:szCs w:val="24"/>
        </w:rPr>
        <w:t>Elena Bogasiu, Vicepreşedintele</w:t>
      </w:r>
      <w:r w:rsidRPr="00250C7F">
        <w:rPr>
          <w:rFonts w:ascii="Times New Roman" w:hAnsi="Times New Roman" w:cs="Times New Roman"/>
          <w:bCs/>
          <w:noProof/>
          <w:sz w:val="24"/>
          <w:szCs w:val="24"/>
        </w:rPr>
        <w:t xml:space="preserve"> Înaltei Curţi de Casaţie şi Justiţie</w:t>
      </w:r>
    </w:p>
    <w:p w14:paraId="670903D0" w14:textId="77777777" w:rsidR="00455967" w:rsidRPr="00250C7F" w:rsidRDefault="00455967" w:rsidP="00891584">
      <w:pPr>
        <w:spacing w:after="0" w:line="276" w:lineRule="auto"/>
        <w:jc w:val="both"/>
        <w:rPr>
          <w:rFonts w:ascii="Times New Roman" w:hAnsi="Times New Roman" w:cs="Times New Roman"/>
          <w:bCs/>
          <w:noProof/>
          <w:sz w:val="24"/>
          <w:szCs w:val="24"/>
        </w:rPr>
      </w:pPr>
    </w:p>
    <w:p w14:paraId="5FE42252" w14:textId="77777777" w:rsidR="00B264DE" w:rsidRPr="00250C7F" w:rsidRDefault="00B264DE" w:rsidP="00891584">
      <w:pPr>
        <w:spacing w:after="0" w:line="276" w:lineRule="auto"/>
        <w:jc w:val="both"/>
        <w:rPr>
          <w:rFonts w:ascii="Times New Roman" w:hAnsi="Times New Roman" w:cs="Times New Roman"/>
          <w:b/>
          <w:bCs/>
          <w:noProof/>
          <w:sz w:val="24"/>
          <w:szCs w:val="24"/>
        </w:rPr>
      </w:pPr>
    </w:p>
    <w:p w14:paraId="4E0582DF" w14:textId="77777777" w:rsidR="00455967" w:rsidRPr="00250C7F" w:rsidRDefault="00455967" w:rsidP="00891584">
      <w:pPr>
        <w:spacing w:after="0" w:line="276" w:lineRule="auto"/>
        <w:jc w:val="both"/>
        <w:rPr>
          <w:rFonts w:ascii="Times New Roman" w:hAnsi="Times New Roman" w:cs="Times New Roman"/>
          <w:b/>
          <w:bCs/>
          <w:noProof/>
          <w:sz w:val="24"/>
          <w:szCs w:val="24"/>
        </w:rPr>
      </w:pPr>
      <w:r w:rsidRPr="00250C7F">
        <w:rPr>
          <w:rFonts w:ascii="Times New Roman" w:hAnsi="Times New Roman" w:cs="Times New Roman"/>
          <w:b/>
          <w:bCs/>
          <w:noProof/>
          <w:sz w:val="24"/>
          <w:szCs w:val="24"/>
        </w:rPr>
        <w:t>Editor</w:t>
      </w:r>
    </w:p>
    <w:p w14:paraId="447A921B" w14:textId="77777777" w:rsidR="00455967" w:rsidRPr="00250C7F" w:rsidRDefault="00455967" w:rsidP="00891584">
      <w:pPr>
        <w:spacing w:after="0" w:line="276" w:lineRule="auto"/>
        <w:jc w:val="both"/>
        <w:rPr>
          <w:rFonts w:ascii="Times New Roman" w:hAnsi="Times New Roman" w:cs="Times New Roman"/>
          <w:bCs/>
          <w:noProof/>
          <w:sz w:val="24"/>
          <w:szCs w:val="24"/>
        </w:rPr>
      </w:pPr>
      <w:r w:rsidRPr="00250C7F">
        <w:rPr>
          <w:rFonts w:ascii="Times New Roman" w:hAnsi="Times New Roman" w:cs="Times New Roman"/>
          <w:bCs/>
          <w:noProof/>
          <w:sz w:val="24"/>
          <w:szCs w:val="24"/>
        </w:rPr>
        <w:t>Judecător Laura Mihaela Ivanovici, Preşedintele Şecţiei I Civile</w:t>
      </w:r>
    </w:p>
    <w:p w14:paraId="2D4401A2" w14:textId="77777777" w:rsidR="00455967" w:rsidRPr="00250C7F" w:rsidRDefault="00455967" w:rsidP="00891584">
      <w:pPr>
        <w:spacing w:after="0" w:line="276" w:lineRule="auto"/>
        <w:jc w:val="both"/>
        <w:rPr>
          <w:rFonts w:ascii="Times New Roman" w:hAnsi="Times New Roman" w:cs="Times New Roman"/>
          <w:bCs/>
          <w:noProof/>
          <w:sz w:val="24"/>
          <w:szCs w:val="24"/>
        </w:rPr>
      </w:pPr>
      <w:r w:rsidRPr="00250C7F">
        <w:rPr>
          <w:rFonts w:ascii="Times New Roman" w:hAnsi="Times New Roman" w:cs="Times New Roman"/>
          <w:bCs/>
          <w:noProof/>
          <w:sz w:val="24"/>
          <w:szCs w:val="24"/>
        </w:rPr>
        <w:t>Judecător Marian Budă, Preşedintele Secţiei a II-a Civile</w:t>
      </w:r>
    </w:p>
    <w:p w14:paraId="24FF65F1" w14:textId="77777777" w:rsidR="00B264DE" w:rsidRPr="00250C7F" w:rsidRDefault="00B264DE" w:rsidP="00891584">
      <w:pPr>
        <w:spacing w:after="0" w:line="276" w:lineRule="auto"/>
        <w:jc w:val="both"/>
        <w:rPr>
          <w:rFonts w:ascii="Times New Roman" w:hAnsi="Times New Roman" w:cs="Times New Roman"/>
          <w:bCs/>
          <w:noProof/>
          <w:sz w:val="24"/>
          <w:szCs w:val="24"/>
        </w:rPr>
      </w:pPr>
      <w:r w:rsidRPr="00250C7F">
        <w:rPr>
          <w:rFonts w:ascii="Times New Roman" w:hAnsi="Times New Roman" w:cs="Times New Roman"/>
          <w:bCs/>
          <w:noProof/>
          <w:sz w:val="24"/>
          <w:szCs w:val="24"/>
        </w:rPr>
        <w:t xml:space="preserve">Judecător Daniel Grădinaru, Preşedintele Secţiei </w:t>
      </w:r>
      <w:r w:rsidR="00A2733C" w:rsidRPr="00250C7F">
        <w:rPr>
          <w:rFonts w:ascii="Times New Roman" w:hAnsi="Times New Roman" w:cs="Times New Roman"/>
          <w:bCs/>
          <w:noProof/>
          <w:sz w:val="24"/>
          <w:szCs w:val="24"/>
        </w:rPr>
        <w:t>Penale</w:t>
      </w:r>
    </w:p>
    <w:p w14:paraId="74F689F7" w14:textId="4B752DEF" w:rsidR="00B264DE" w:rsidRPr="00250C7F" w:rsidRDefault="00B264DE" w:rsidP="00891584">
      <w:pPr>
        <w:spacing w:after="0" w:line="276" w:lineRule="auto"/>
        <w:jc w:val="both"/>
        <w:rPr>
          <w:rFonts w:ascii="Times New Roman" w:hAnsi="Times New Roman" w:cs="Times New Roman"/>
          <w:bCs/>
          <w:noProof/>
          <w:sz w:val="24"/>
          <w:szCs w:val="24"/>
        </w:rPr>
      </w:pPr>
      <w:r w:rsidRPr="00250C7F">
        <w:rPr>
          <w:rFonts w:ascii="Times New Roman" w:hAnsi="Times New Roman" w:cs="Times New Roman"/>
          <w:bCs/>
          <w:noProof/>
          <w:sz w:val="24"/>
          <w:szCs w:val="24"/>
        </w:rPr>
        <w:t>Judecător</w:t>
      </w:r>
      <w:r w:rsidR="00023D86" w:rsidRPr="00250C7F">
        <w:rPr>
          <w:rFonts w:ascii="Times New Roman" w:hAnsi="Times New Roman" w:cs="Times New Roman"/>
          <w:bCs/>
          <w:noProof/>
          <w:sz w:val="24"/>
          <w:szCs w:val="24"/>
        </w:rPr>
        <w:t xml:space="preserve"> </w:t>
      </w:r>
      <w:r w:rsidRPr="00250C7F">
        <w:rPr>
          <w:rFonts w:ascii="Times New Roman" w:hAnsi="Times New Roman" w:cs="Times New Roman"/>
          <w:bCs/>
          <w:noProof/>
          <w:sz w:val="24"/>
          <w:szCs w:val="24"/>
        </w:rPr>
        <w:t>Denisa Angelica Stă</w:t>
      </w:r>
      <w:r w:rsidR="005D500A" w:rsidRPr="00250C7F">
        <w:rPr>
          <w:rFonts w:ascii="Times New Roman" w:hAnsi="Times New Roman" w:cs="Times New Roman"/>
          <w:bCs/>
          <w:noProof/>
          <w:sz w:val="24"/>
          <w:szCs w:val="24"/>
        </w:rPr>
        <w:t>nişor, Preşedintele Secţiei de contencios administrativ şi f</w:t>
      </w:r>
      <w:r w:rsidRPr="00250C7F">
        <w:rPr>
          <w:rFonts w:ascii="Times New Roman" w:hAnsi="Times New Roman" w:cs="Times New Roman"/>
          <w:bCs/>
          <w:noProof/>
          <w:sz w:val="24"/>
          <w:szCs w:val="24"/>
        </w:rPr>
        <w:t>iscal</w:t>
      </w:r>
    </w:p>
    <w:p w14:paraId="3117CA82" w14:textId="77777777" w:rsidR="00455967" w:rsidRPr="00250C7F" w:rsidRDefault="00455967" w:rsidP="00891584">
      <w:pPr>
        <w:spacing w:line="276" w:lineRule="auto"/>
        <w:jc w:val="both"/>
        <w:rPr>
          <w:rFonts w:ascii="Times New Roman" w:hAnsi="Times New Roman" w:cs="Times New Roman"/>
          <w:b/>
          <w:bCs/>
          <w:noProof/>
          <w:sz w:val="24"/>
          <w:szCs w:val="24"/>
        </w:rPr>
      </w:pPr>
      <w:r w:rsidRPr="00250C7F">
        <w:rPr>
          <w:rFonts w:ascii="Times New Roman" w:hAnsi="Times New Roman" w:cs="Times New Roman"/>
          <w:b/>
          <w:bCs/>
          <w:noProof/>
          <w:sz w:val="24"/>
          <w:szCs w:val="24"/>
        </w:rPr>
        <w:br w:type="page"/>
      </w:r>
    </w:p>
    <w:p w14:paraId="78C0A7C7" w14:textId="77777777" w:rsidR="008540AB" w:rsidRPr="00250C7F" w:rsidRDefault="008540AB" w:rsidP="00891584">
      <w:pPr>
        <w:spacing w:line="276" w:lineRule="auto"/>
        <w:jc w:val="both"/>
        <w:rPr>
          <w:rFonts w:ascii="Times New Roman" w:hAnsi="Times New Roman" w:cs="Times New Roman"/>
          <w:b/>
          <w:bCs/>
          <w:noProof/>
          <w:sz w:val="24"/>
          <w:szCs w:val="24"/>
        </w:rPr>
        <w:sectPr w:rsidR="008540AB" w:rsidRPr="00250C7F" w:rsidSect="00DD1F71">
          <w:headerReference w:type="default" r:id="rId9"/>
          <w:footerReference w:type="default" r:id="rId10"/>
          <w:pgSz w:w="11906" w:h="16838" w:code="9"/>
          <w:pgMar w:top="284" w:right="1077" w:bottom="1418" w:left="1361" w:header="709" w:footer="709" w:gutter="0"/>
          <w:cols w:space="708"/>
          <w:docGrid w:linePitch="360"/>
        </w:sectPr>
      </w:pPr>
    </w:p>
    <w:sdt>
      <w:sdtPr>
        <w:rPr>
          <w:rFonts w:ascii="Times New Roman" w:eastAsia="Calibri" w:hAnsi="Times New Roman" w:cs="Times New Roman"/>
          <w:b/>
          <w:color w:val="auto"/>
          <w:sz w:val="24"/>
          <w:szCs w:val="24"/>
          <w:lang w:val="ro-RO"/>
        </w:rPr>
        <w:id w:val="-1578128749"/>
        <w:docPartObj>
          <w:docPartGallery w:val="Table of Contents"/>
          <w:docPartUnique/>
        </w:docPartObj>
      </w:sdtPr>
      <w:sdtEndPr>
        <w:rPr>
          <w:rFonts w:eastAsiaTheme="minorHAnsi"/>
          <w:bCs/>
          <w:noProof/>
        </w:rPr>
      </w:sdtEndPr>
      <w:sdtContent>
        <w:p w14:paraId="11F1733C" w14:textId="77777777" w:rsidR="005D2CED" w:rsidRPr="00250C7F" w:rsidRDefault="008540AB" w:rsidP="00DD1F71">
          <w:pPr>
            <w:pStyle w:val="TOCHeading"/>
            <w:spacing w:before="0" w:line="276" w:lineRule="auto"/>
            <w:ind w:right="623"/>
            <w:jc w:val="both"/>
            <w:rPr>
              <w:rFonts w:ascii="Times New Roman" w:hAnsi="Times New Roman" w:cs="Times New Roman"/>
              <w:b/>
              <w:color w:val="auto"/>
              <w:sz w:val="24"/>
              <w:szCs w:val="24"/>
              <w:lang w:val="ro-RO"/>
            </w:rPr>
          </w:pPr>
          <w:r w:rsidRPr="00250C7F">
            <w:rPr>
              <w:rFonts w:ascii="Times New Roman" w:hAnsi="Times New Roman" w:cs="Times New Roman"/>
              <w:b/>
              <w:color w:val="auto"/>
              <w:sz w:val="24"/>
              <w:szCs w:val="24"/>
              <w:lang w:val="ro-RO"/>
            </w:rPr>
            <w:t>CUPRINS</w:t>
          </w:r>
        </w:p>
        <w:p w14:paraId="4F44AE89" w14:textId="3A7580C3" w:rsidR="009E2D2C" w:rsidRDefault="008540AB">
          <w:pPr>
            <w:pStyle w:val="TOC1"/>
            <w:rPr>
              <w:rFonts w:asciiTheme="minorHAnsi" w:eastAsiaTheme="minorEastAsia" w:hAnsiTheme="minorHAnsi" w:cstheme="minorBidi"/>
              <w:b w:val="0"/>
              <w:caps w:val="0"/>
              <w:sz w:val="22"/>
              <w:szCs w:val="22"/>
              <w:lang w:eastAsia="ro-RO"/>
            </w:rPr>
          </w:pPr>
          <w:r w:rsidRPr="00250C7F">
            <w:rPr>
              <w:sz w:val="24"/>
              <w:szCs w:val="24"/>
            </w:rPr>
            <w:fldChar w:fldCharType="begin"/>
          </w:r>
          <w:r w:rsidRPr="00250C7F">
            <w:rPr>
              <w:sz w:val="24"/>
              <w:szCs w:val="24"/>
            </w:rPr>
            <w:instrText xml:space="preserve"> TOC \o "1-3" \h \z \u </w:instrText>
          </w:r>
          <w:r w:rsidRPr="00250C7F">
            <w:rPr>
              <w:sz w:val="24"/>
              <w:szCs w:val="24"/>
            </w:rPr>
            <w:fldChar w:fldCharType="separate"/>
          </w:r>
          <w:hyperlink w:anchor="_Toc84584795" w:history="1">
            <w:r w:rsidR="009E2D2C" w:rsidRPr="0018672B">
              <w:rPr>
                <w:rStyle w:val="Hyperlink"/>
              </w:rPr>
              <w:t>DREPT ADMINISTRATIV</w:t>
            </w:r>
            <w:r w:rsidR="009E2D2C">
              <w:rPr>
                <w:webHidden/>
              </w:rPr>
              <w:tab/>
            </w:r>
            <w:r w:rsidR="009E2D2C">
              <w:rPr>
                <w:webHidden/>
              </w:rPr>
              <w:fldChar w:fldCharType="begin"/>
            </w:r>
            <w:r w:rsidR="009E2D2C">
              <w:rPr>
                <w:webHidden/>
              </w:rPr>
              <w:instrText xml:space="preserve"> PAGEREF _Toc84584795 \h </w:instrText>
            </w:r>
            <w:r w:rsidR="009E2D2C">
              <w:rPr>
                <w:webHidden/>
              </w:rPr>
            </w:r>
            <w:r w:rsidR="009E2D2C">
              <w:rPr>
                <w:webHidden/>
              </w:rPr>
              <w:fldChar w:fldCharType="separate"/>
            </w:r>
            <w:r w:rsidR="009E2D2C">
              <w:rPr>
                <w:webHidden/>
              </w:rPr>
              <w:t>3</w:t>
            </w:r>
            <w:r w:rsidR="009E2D2C">
              <w:rPr>
                <w:webHidden/>
              </w:rPr>
              <w:fldChar w:fldCharType="end"/>
            </w:r>
          </w:hyperlink>
        </w:p>
        <w:p w14:paraId="18E8A360" w14:textId="5AC16A7C" w:rsidR="009E2D2C" w:rsidRDefault="004A399B">
          <w:pPr>
            <w:pStyle w:val="TOC3"/>
            <w:rPr>
              <w:rFonts w:asciiTheme="minorHAnsi" w:eastAsiaTheme="minorEastAsia" w:hAnsiTheme="minorHAnsi" w:cstheme="minorBidi"/>
              <w:b w:val="0"/>
              <w:sz w:val="22"/>
              <w:szCs w:val="22"/>
              <w:lang w:eastAsia="ro-RO"/>
            </w:rPr>
          </w:pPr>
          <w:hyperlink w:anchor="_Toc84584796" w:history="1">
            <w:r w:rsidR="009E2D2C" w:rsidRPr="0018672B">
              <w:rPr>
                <w:rStyle w:val="Hyperlink"/>
                <w:shd w:val="clear" w:color="auto" w:fill="FFFFFF"/>
              </w:rPr>
              <w:t>1. Ordin emis de președintele ANRE privind stabilirea cotei obligatorii de achiziţie de certificate verzi. Act administrativ cu caracter normativ. Elemente de diferențiere între actul administrativ cu caracter normativ cu grad restrâns de adresabilitate și actul administrativ individual adresat unei pluralități de subiecte de drept.</w:t>
            </w:r>
            <w:r w:rsidR="009E2D2C">
              <w:rPr>
                <w:webHidden/>
              </w:rPr>
              <w:tab/>
            </w:r>
            <w:r w:rsidR="009E2D2C">
              <w:rPr>
                <w:webHidden/>
              </w:rPr>
              <w:fldChar w:fldCharType="begin"/>
            </w:r>
            <w:r w:rsidR="009E2D2C">
              <w:rPr>
                <w:webHidden/>
              </w:rPr>
              <w:instrText xml:space="preserve"> PAGEREF _Toc84584796 \h </w:instrText>
            </w:r>
            <w:r w:rsidR="009E2D2C">
              <w:rPr>
                <w:webHidden/>
              </w:rPr>
            </w:r>
            <w:r w:rsidR="009E2D2C">
              <w:rPr>
                <w:webHidden/>
              </w:rPr>
              <w:fldChar w:fldCharType="separate"/>
            </w:r>
            <w:r w:rsidR="009E2D2C">
              <w:rPr>
                <w:webHidden/>
              </w:rPr>
              <w:t>3</w:t>
            </w:r>
            <w:r w:rsidR="009E2D2C">
              <w:rPr>
                <w:webHidden/>
              </w:rPr>
              <w:fldChar w:fldCharType="end"/>
            </w:r>
          </w:hyperlink>
        </w:p>
        <w:p w14:paraId="2FD0590A" w14:textId="5B6C543C" w:rsidR="009E2D2C" w:rsidRDefault="004A399B">
          <w:pPr>
            <w:pStyle w:val="TOC3"/>
            <w:rPr>
              <w:rFonts w:asciiTheme="minorHAnsi" w:eastAsiaTheme="minorEastAsia" w:hAnsiTheme="minorHAnsi" w:cstheme="minorBidi"/>
              <w:b w:val="0"/>
              <w:sz w:val="22"/>
              <w:szCs w:val="22"/>
              <w:lang w:eastAsia="ro-RO"/>
            </w:rPr>
          </w:pPr>
          <w:hyperlink w:anchor="_Toc84584797" w:history="1">
            <w:r w:rsidR="009E2D2C" w:rsidRPr="0018672B">
              <w:rPr>
                <w:rStyle w:val="Hyperlink"/>
                <w:bCs/>
              </w:rPr>
              <w:t xml:space="preserve">2. Controlul de legalitate exercitat de Consiliul UNBR asupra hotărârilor consiliilor barourilor. Contestaţie formulată de președintele UNBR împotriva unei hotărâri emise de consiliul unui barou județean având ca obiect analiza stării </w:t>
            </w:r>
            <w:r w:rsidR="009E2D2C" w:rsidRPr="0018672B">
              <w:rPr>
                <w:rStyle w:val="Hyperlink"/>
                <w:bCs/>
              </w:rPr>
              <w:t>d</w:t>
            </w:r>
            <w:r w:rsidR="009E2D2C" w:rsidRPr="0018672B">
              <w:rPr>
                <w:rStyle w:val="Hyperlink"/>
                <w:bCs/>
              </w:rPr>
              <w:t>e incompatibilitate. Admisibilitate.  Inexist</w:t>
            </w:r>
            <w:r w:rsidR="005A7DDC">
              <w:rPr>
                <w:rStyle w:val="Hyperlink"/>
                <w:bCs/>
              </w:rPr>
              <w:t>e</w:t>
            </w:r>
            <w:r w:rsidR="009E2D2C" w:rsidRPr="0018672B">
              <w:rPr>
                <w:rStyle w:val="Hyperlink"/>
                <w:bCs/>
              </w:rPr>
              <w:t>nța unei stări de incompatibilitate, în sensul art. 15 alin. (1) lit. a) din Legea nr. 51/1995, între calitatea de magistrat suspendat și cea de avocat</w:t>
            </w:r>
            <w:r w:rsidR="009E2D2C" w:rsidRPr="0018672B">
              <w:rPr>
                <w:rStyle w:val="Hyperlink"/>
                <w:shd w:val="clear" w:color="auto" w:fill="FFFFFF"/>
              </w:rPr>
              <w:t>.</w:t>
            </w:r>
            <w:r w:rsidR="009E2D2C">
              <w:rPr>
                <w:webHidden/>
              </w:rPr>
              <w:tab/>
            </w:r>
            <w:r w:rsidR="009E2D2C">
              <w:rPr>
                <w:webHidden/>
              </w:rPr>
              <w:fldChar w:fldCharType="begin"/>
            </w:r>
            <w:r w:rsidR="009E2D2C">
              <w:rPr>
                <w:webHidden/>
              </w:rPr>
              <w:instrText xml:space="preserve"> PAGEREF _Toc84584797 \h </w:instrText>
            </w:r>
            <w:r w:rsidR="009E2D2C">
              <w:rPr>
                <w:webHidden/>
              </w:rPr>
            </w:r>
            <w:r w:rsidR="009E2D2C">
              <w:rPr>
                <w:webHidden/>
              </w:rPr>
              <w:fldChar w:fldCharType="separate"/>
            </w:r>
            <w:r w:rsidR="009E2D2C">
              <w:rPr>
                <w:webHidden/>
              </w:rPr>
              <w:t>22</w:t>
            </w:r>
            <w:r w:rsidR="009E2D2C">
              <w:rPr>
                <w:webHidden/>
              </w:rPr>
              <w:fldChar w:fldCharType="end"/>
            </w:r>
          </w:hyperlink>
        </w:p>
        <w:p w14:paraId="66F4B331" w14:textId="63DFA462" w:rsidR="009E2D2C" w:rsidRDefault="004A399B">
          <w:pPr>
            <w:pStyle w:val="TOC3"/>
            <w:rPr>
              <w:rFonts w:asciiTheme="minorHAnsi" w:eastAsiaTheme="minorEastAsia" w:hAnsiTheme="minorHAnsi" w:cstheme="minorBidi"/>
              <w:b w:val="0"/>
              <w:sz w:val="22"/>
              <w:szCs w:val="22"/>
              <w:lang w:eastAsia="ro-RO"/>
            </w:rPr>
          </w:pPr>
          <w:hyperlink w:anchor="_Toc84584798" w:history="1">
            <w:r w:rsidR="009E2D2C" w:rsidRPr="0018672B">
              <w:rPr>
                <w:rStyle w:val="Hyperlink"/>
                <w:bCs/>
                <w:iCs/>
              </w:rPr>
              <w:t xml:space="preserve">3. </w:t>
            </w:r>
            <w:r w:rsidR="009E2D2C" w:rsidRPr="0018672B">
              <w:rPr>
                <w:rStyle w:val="Hyperlink"/>
                <w:bCs/>
              </w:rPr>
              <w:t>Regimul juridic al străinilor. Refuzul acordării dreptului de ședere pe termen lung în România. Lipsa motivării actului administrativ.</w:t>
            </w:r>
            <w:r w:rsidR="009E2D2C">
              <w:rPr>
                <w:webHidden/>
              </w:rPr>
              <w:tab/>
            </w:r>
            <w:r w:rsidR="009E2D2C">
              <w:rPr>
                <w:webHidden/>
              </w:rPr>
              <w:fldChar w:fldCharType="begin"/>
            </w:r>
            <w:r w:rsidR="009E2D2C">
              <w:rPr>
                <w:webHidden/>
              </w:rPr>
              <w:instrText xml:space="preserve"> PAGEREF _Toc84584798 \h </w:instrText>
            </w:r>
            <w:r w:rsidR="009E2D2C">
              <w:rPr>
                <w:webHidden/>
              </w:rPr>
            </w:r>
            <w:r w:rsidR="009E2D2C">
              <w:rPr>
                <w:webHidden/>
              </w:rPr>
              <w:fldChar w:fldCharType="separate"/>
            </w:r>
            <w:r w:rsidR="009E2D2C">
              <w:rPr>
                <w:webHidden/>
              </w:rPr>
              <w:t>34</w:t>
            </w:r>
            <w:r w:rsidR="009E2D2C">
              <w:rPr>
                <w:webHidden/>
              </w:rPr>
              <w:fldChar w:fldCharType="end"/>
            </w:r>
          </w:hyperlink>
        </w:p>
        <w:p w14:paraId="548B417B" w14:textId="2F5FE038" w:rsidR="009E2D2C" w:rsidRDefault="004A399B">
          <w:pPr>
            <w:pStyle w:val="TOC1"/>
            <w:rPr>
              <w:rFonts w:asciiTheme="minorHAnsi" w:eastAsiaTheme="minorEastAsia" w:hAnsiTheme="minorHAnsi" w:cstheme="minorBidi"/>
              <w:b w:val="0"/>
              <w:caps w:val="0"/>
              <w:sz w:val="22"/>
              <w:szCs w:val="22"/>
              <w:lang w:eastAsia="ro-RO"/>
            </w:rPr>
          </w:pPr>
          <w:hyperlink w:anchor="_Toc84584799" w:history="1">
            <w:r w:rsidR="009E2D2C" w:rsidRPr="0018672B">
              <w:rPr>
                <w:rStyle w:val="Hyperlink"/>
              </w:rPr>
              <w:t>DREPT CIVIL</w:t>
            </w:r>
            <w:r w:rsidR="009E2D2C">
              <w:rPr>
                <w:webHidden/>
              </w:rPr>
              <w:tab/>
            </w:r>
            <w:r w:rsidR="009E2D2C">
              <w:rPr>
                <w:webHidden/>
              </w:rPr>
              <w:fldChar w:fldCharType="begin"/>
            </w:r>
            <w:r w:rsidR="009E2D2C">
              <w:rPr>
                <w:webHidden/>
              </w:rPr>
              <w:instrText xml:space="preserve"> PAGEREF _Toc84584799 \h </w:instrText>
            </w:r>
            <w:r w:rsidR="009E2D2C">
              <w:rPr>
                <w:webHidden/>
              </w:rPr>
            </w:r>
            <w:r w:rsidR="009E2D2C">
              <w:rPr>
                <w:webHidden/>
              </w:rPr>
              <w:fldChar w:fldCharType="separate"/>
            </w:r>
            <w:r w:rsidR="009E2D2C">
              <w:rPr>
                <w:webHidden/>
              </w:rPr>
              <w:t>40</w:t>
            </w:r>
            <w:r w:rsidR="009E2D2C">
              <w:rPr>
                <w:webHidden/>
              </w:rPr>
              <w:fldChar w:fldCharType="end"/>
            </w:r>
          </w:hyperlink>
        </w:p>
        <w:p w14:paraId="7D5BEDFC" w14:textId="4BC6F562" w:rsidR="009E2D2C" w:rsidRDefault="004A399B">
          <w:pPr>
            <w:pStyle w:val="TOC2"/>
            <w:rPr>
              <w:rFonts w:asciiTheme="minorHAnsi" w:eastAsiaTheme="minorEastAsia" w:hAnsiTheme="minorHAnsi" w:cstheme="minorBidi"/>
              <w:i w:val="0"/>
              <w:spacing w:val="0"/>
              <w:sz w:val="22"/>
              <w:szCs w:val="22"/>
              <w:lang w:eastAsia="ro-RO"/>
            </w:rPr>
          </w:pPr>
          <w:hyperlink w:anchor="_Toc84584800" w:history="1">
            <w:r w:rsidR="009E2D2C" w:rsidRPr="0018672B">
              <w:rPr>
                <w:rStyle w:val="Hyperlink"/>
                <w:b/>
                <w:bCs/>
              </w:rPr>
              <w:t>I. Obligaţii</w:t>
            </w:r>
            <w:r w:rsidR="009E2D2C">
              <w:rPr>
                <w:webHidden/>
              </w:rPr>
              <w:tab/>
            </w:r>
            <w:r w:rsidR="009E2D2C">
              <w:rPr>
                <w:webHidden/>
              </w:rPr>
              <w:fldChar w:fldCharType="begin"/>
            </w:r>
            <w:r w:rsidR="009E2D2C">
              <w:rPr>
                <w:webHidden/>
              </w:rPr>
              <w:instrText xml:space="preserve"> PAGEREF _Toc84584800 \h </w:instrText>
            </w:r>
            <w:r w:rsidR="009E2D2C">
              <w:rPr>
                <w:webHidden/>
              </w:rPr>
            </w:r>
            <w:r w:rsidR="009E2D2C">
              <w:rPr>
                <w:webHidden/>
              </w:rPr>
              <w:fldChar w:fldCharType="separate"/>
            </w:r>
            <w:r w:rsidR="009E2D2C">
              <w:rPr>
                <w:webHidden/>
              </w:rPr>
              <w:t>40</w:t>
            </w:r>
            <w:r w:rsidR="009E2D2C">
              <w:rPr>
                <w:webHidden/>
              </w:rPr>
              <w:fldChar w:fldCharType="end"/>
            </w:r>
          </w:hyperlink>
        </w:p>
        <w:p w14:paraId="4AC5E8BD" w14:textId="19755348" w:rsidR="009E2D2C" w:rsidRDefault="004A399B">
          <w:pPr>
            <w:pStyle w:val="TOC3"/>
            <w:rPr>
              <w:rFonts w:asciiTheme="minorHAnsi" w:eastAsiaTheme="minorEastAsia" w:hAnsiTheme="minorHAnsi" w:cstheme="minorBidi"/>
              <w:b w:val="0"/>
              <w:sz w:val="22"/>
              <w:szCs w:val="22"/>
              <w:lang w:eastAsia="ro-RO"/>
            </w:rPr>
          </w:pPr>
          <w:hyperlink w:anchor="_Toc84584801" w:history="1">
            <w:r w:rsidR="009E2D2C" w:rsidRPr="0018672B">
              <w:rPr>
                <w:rStyle w:val="Hyperlink"/>
                <w:rFonts w:eastAsia="Times New Roman"/>
                <w:lang w:eastAsia="ro-RO"/>
              </w:rPr>
              <w:t>1.</w:t>
            </w:r>
            <w:r w:rsidR="009E2D2C" w:rsidRPr="0018672B">
              <w:rPr>
                <w:rStyle w:val="Hyperlink"/>
                <w:bCs/>
                <w:iCs/>
              </w:rPr>
              <w:t xml:space="preserve"> Persoană aflată în executarea unei pedepse privative de libertate. Refuzul autorităților de a-i permite să participe la înmormântarea părinților. Atingere adusă dreptului la viața privată. Prejudiciu moral. Despăgubiri</w:t>
            </w:r>
            <w:r w:rsidR="009E2D2C">
              <w:rPr>
                <w:webHidden/>
              </w:rPr>
              <w:tab/>
            </w:r>
            <w:r w:rsidR="009E2D2C">
              <w:rPr>
                <w:webHidden/>
              </w:rPr>
              <w:fldChar w:fldCharType="begin"/>
            </w:r>
            <w:r w:rsidR="009E2D2C">
              <w:rPr>
                <w:webHidden/>
              </w:rPr>
              <w:instrText xml:space="preserve"> PAGEREF _Toc84584801 \h </w:instrText>
            </w:r>
            <w:r w:rsidR="009E2D2C">
              <w:rPr>
                <w:webHidden/>
              </w:rPr>
            </w:r>
            <w:r w:rsidR="009E2D2C">
              <w:rPr>
                <w:webHidden/>
              </w:rPr>
              <w:fldChar w:fldCharType="separate"/>
            </w:r>
            <w:r w:rsidR="009E2D2C">
              <w:rPr>
                <w:webHidden/>
              </w:rPr>
              <w:t>40</w:t>
            </w:r>
            <w:r w:rsidR="009E2D2C">
              <w:rPr>
                <w:webHidden/>
              </w:rPr>
              <w:fldChar w:fldCharType="end"/>
            </w:r>
          </w:hyperlink>
        </w:p>
        <w:p w14:paraId="257E6ECE" w14:textId="04D40201" w:rsidR="009E2D2C" w:rsidRDefault="004A399B">
          <w:pPr>
            <w:pStyle w:val="TOC3"/>
            <w:rPr>
              <w:rFonts w:asciiTheme="minorHAnsi" w:eastAsiaTheme="minorEastAsia" w:hAnsiTheme="minorHAnsi" w:cstheme="minorBidi"/>
              <w:b w:val="0"/>
              <w:sz w:val="22"/>
              <w:szCs w:val="22"/>
              <w:lang w:eastAsia="ro-RO"/>
            </w:rPr>
          </w:pPr>
          <w:hyperlink w:anchor="_Toc84584802" w:history="1">
            <w:r w:rsidR="009E2D2C" w:rsidRPr="0018672B">
              <w:rPr>
                <w:rStyle w:val="Hyperlink"/>
                <w:bCs/>
                <w:iCs/>
              </w:rPr>
              <w:t>2.</w:t>
            </w:r>
            <w:r w:rsidR="009E2D2C" w:rsidRPr="0018672B">
              <w:rPr>
                <w:rStyle w:val="Hyperlink"/>
                <w:iCs/>
              </w:rPr>
              <w:t xml:space="preserve"> Mandat european de arestare. Invocarea caracterului nelegal al măsurii arestării pe teritoriul României. Acţiune în despăgubiri. Inexistenţa faptei ilicite. Neîndeplinirea condiţiilor răspunderii civile delictuale</w:t>
            </w:r>
            <w:r w:rsidR="009E2D2C">
              <w:rPr>
                <w:webHidden/>
              </w:rPr>
              <w:tab/>
            </w:r>
            <w:r w:rsidR="009E2D2C">
              <w:rPr>
                <w:webHidden/>
              </w:rPr>
              <w:fldChar w:fldCharType="begin"/>
            </w:r>
            <w:r w:rsidR="009E2D2C">
              <w:rPr>
                <w:webHidden/>
              </w:rPr>
              <w:instrText xml:space="preserve"> PAGEREF _Toc84584802 \h </w:instrText>
            </w:r>
            <w:r w:rsidR="009E2D2C">
              <w:rPr>
                <w:webHidden/>
              </w:rPr>
            </w:r>
            <w:r w:rsidR="009E2D2C">
              <w:rPr>
                <w:webHidden/>
              </w:rPr>
              <w:fldChar w:fldCharType="separate"/>
            </w:r>
            <w:r w:rsidR="009E2D2C">
              <w:rPr>
                <w:webHidden/>
              </w:rPr>
              <w:t>48</w:t>
            </w:r>
            <w:r w:rsidR="009E2D2C">
              <w:rPr>
                <w:webHidden/>
              </w:rPr>
              <w:fldChar w:fldCharType="end"/>
            </w:r>
          </w:hyperlink>
        </w:p>
        <w:p w14:paraId="7E6DADFF" w14:textId="25156251" w:rsidR="009E2D2C" w:rsidRDefault="004A399B">
          <w:pPr>
            <w:pStyle w:val="TOC3"/>
            <w:rPr>
              <w:rFonts w:asciiTheme="minorHAnsi" w:eastAsiaTheme="minorEastAsia" w:hAnsiTheme="minorHAnsi" w:cstheme="minorBidi"/>
              <w:b w:val="0"/>
              <w:sz w:val="22"/>
              <w:szCs w:val="22"/>
              <w:lang w:eastAsia="ro-RO"/>
            </w:rPr>
          </w:pPr>
          <w:hyperlink w:anchor="_Toc84584803" w:history="1">
            <w:r w:rsidR="009E2D2C" w:rsidRPr="0018672B">
              <w:rPr>
                <w:rStyle w:val="Hyperlink"/>
                <w:rFonts w:eastAsia="Times New Roman"/>
                <w:bCs/>
                <w:lang w:eastAsia="ro-RO"/>
              </w:rPr>
              <w:t>3.</w:t>
            </w:r>
            <w:r w:rsidR="009E2D2C" w:rsidRPr="0018672B">
              <w:rPr>
                <w:rStyle w:val="Hyperlink"/>
                <w:rFonts w:eastAsia="Times New Roman"/>
                <w:lang w:eastAsia="ro-RO"/>
              </w:rPr>
              <w:t xml:space="preserve"> </w:t>
            </w:r>
            <w:r w:rsidR="009E2D2C" w:rsidRPr="0018672B">
              <w:rPr>
                <w:rStyle w:val="Hyperlink"/>
                <w:rFonts w:eastAsia="Times New Roman"/>
                <w:iCs/>
                <w:lang w:eastAsia="ro-RO"/>
              </w:rPr>
              <w:t>Teren forestier încadrat în categoria „arii protejate”. Imposibilitatea exploatării bunului de către proprietar. Omisiunea autorităţilor statale de a adopta cadrul normativ de reglementare a procedurii de acordare a compensaţiilor băneşti cuvenite. Atingere adusă dreptului de proprietate. Calitatea procesuală pasivă a Statului Român. Răspundere obiectivă. Prejudiciu moral. Acţiune în despăgubiri</w:t>
            </w:r>
            <w:r w:rsidR="009E2D2C">
              <w:rPr>
                <w:webHidden/>
              </w:rPr>
              <w:tab/>
            </w:r>
            <w:r w:rsidR="009E2D2C">
              <w:rPr>
                <w:webHidden/>
              </w:rPr>
              <w:fldChar w:fldCharType="begin"/>
            </w:r>
            <w:r w:rsidR="009E2D2C">
              <w:rPr>
                <w:webHidden/>
              </w:rPr>
              <w:instrText xml:space="preserve"> PAGEREF _Toc84584803 \h </w:instrText>
            </w:r>
            <w:r w:rsidR="009E2D2C">
              <w:rPr>
                <w:webHidden/>
              </w:rPr>
            </w:r>
            <w:r w:rsidR="009E2D2C">
              <w:rPr>
                <w:webHidden/>
              </w:rPr>
              <w:fldChar w:fldCharType="separate"/>
            </w:r>
            <w:r w:rsidR="009E2D2C">
              <w:rPr>
                <w:webHidden/>
              </w:rPr>
              <w:t>55</w:t>
            </w:r>
            <w:r w:rsidR="009E2D2C">
              <w:rPr>
                <w:webHidden/>
              </w:rPr>
              <w:fldChar w:fldCharType="end"/>
            </w:r>
          </w:hyperlink>
        </w:p>
        <w:p w14:paraId="50B915AF" w14:textId="5B366C4A" w:rsidR="009E2D2C" w:rsidRDefault="004A399B">
          <w:pPr>
            <w:pStyle w:val="TOC3"/>
            <w:rPr>
              <w:rFonts w:asciiTheme="minorHAnsi" w:eastAsiaTheme="minorEastAsia" w:hAnsiTheme="minorHAnsi" w:cstheme="minorBidi"/>
              <w:b w:val="0"/>
              <w:sz w:val="22"/>
              <w:szCs w:val="22"/>
              <w:lang w:eastAsia="ro-RO"/>
            </w:rPr>
          </w:pPr>
          <w:hyperlink w:anchor="_Toc84584804" w:history="1">
            <w:r w:rsidR="009E2D2C" w:rsidRPr="0018672B">
              <w:rPr>
                <w:rStyle w:val="Hyperlink"/>
                <w:rFonts w:eastAsia="Times New Roman"/>
                <w:bCs/>
                <w:iCs/>
                <w:lang w:eastAsia="ro-RO"/>
              </w:rPr>
              <w:t>4. Acțiune în răspundere civilă delictuală pentru prejudiciul pretins a fi suferit ca urmare a neîndeplinirii de către avocat a obligațiilor ce-i reveneau în temeiul contractului de asistență juridică. Raportul dintre răspunderea civilă delictuală și răspunderea contractuală</w:t>
            </w:r>
            <w:r w:rsidR="009E2D2C">
              <w:rPr>
                <w:webHidden/>
              </w:rPr>
              <w:tab/>
            </w:r>
            <w:r w:rsidR="009E2D2C">
              <w:rPr>
                <w:webHidden/>
              </w:rPr>
              <w:fldChar w:fldCharType="begin"/>
            </w:r>
            <w:r w:rsidR="009E2D2C">
              <w:rPr>
                <w:webHidden/>
              </w:rPr>
              <w:instrText xml:space="preserve"> PAGEREF _Toc84584804 \h </w:instrText>
            </w:r>
            <w:r w:rsidR="009E2D2C">
              <w:rPr>
                <w:webHidden/>
              </w:rPr>
            </w:r>
            <w:r w:rsidR="009E2D2C">
              <w:rPr>
                <w:webHidden/>
              </w:rPr>
              <w:fldChar w:fldCharType="separate"/>
            </w:r>
            <w:r w:rsidR="009E2D2C">
              <w:rPr>
                <w:webHidden/>
              </w:rPr>
              <w:t>65</w:t>
            </w:r>
            <w:r w:rsidR="009E2D2C">
              <w:rPr>
                <w:webHidden/>
              </w:rPr>
              <w:fldChar w:fldCharType="end"/>
            </w:r>
          </w:hyperlink>
        </w:p>
        <w:p w14:paraId="6781B2C3" w14:textId="2B722451" w:rsidR="009E2D2C" w:rsidRDefault="004A399B">
          <w:pPr>
            <w:pStyle w:val="TOC2"/>
            <w:rPr>
              <w:rFonts w:asciiTheme="minorHAnsi" w:eastAsiaTheme="minorEastAsia" w:hAnsiTheme="minorHAnsi" w:cstheme="minorBidi"/>
              <w:i w:val="0"/>
              <w:spacing w:val="0"/>
              <w:sz w:val="22"/>
              <w:szCs w:val="22"/>
              <w:lang w:eastAsia="ro-RO"/>
            </w:rPr>
          </w:pPr>
          <w:hyperlink w:anchor="_Toc84584805" w:history="1">
            <w:r w:rsidR="009E2D2C" w:rsidRPr="0018672B">
              <w:rPr>
                <w:rStyle w:val="Hyperlink"/>
                <w:b/>
                <w:bCs/>
              </w:rPr>
              <w:t>II. Dreptul proprietăţii intelectuale</w:t>
            </w:r>
            <w:r w:rsidR="009E2D2C">
              <w:rPr>
                <w:webHidden/>
              </w:rPr>
              <w:tab/>
            </w:r>
            <w:r w:rsidR="009E2D2C">
              <w:rPr>
                <w:webHidden/>
              </w:rPr>
              <w:fldChar w:fldCharType="begin"/>
            </w:r>
            <w:r w:rsidR="009E2D2C">
              <w:rPr>
                <w:webHidden/>
              </w:rPr>
              <w:instrText xml:space="preserve"> PAGEREF _Toc84584805 \h </w:instrText>
            </w:r>
            <w:r w:rsidR="009E2D2C">
              <w:rPr>
                <w:webHidden/>
              </w:rPr>
            </w:r>
            <w:r w:rsidR="009E2D2C">
              <w:rPr>
                <w:webHidden/>
              </w:rPr>
              <w:fldChar w:fldCharType="separate"/>
            </w:r>
            <w:r w:rsidR="009E2D2C">
              <w:rPr>
                <w:webHidden/>
              </w:rPr>
              <w:t>70</w:t>
            </w:r>
            <w:r w:rsidR="009E2D2C">
              <w:rPr>
                <w:webHidden/>
              </w:rPr>
              <w:fldChar w:fldCharType="end"/>
            </w:r>
          </w:hyperlink>
        </w:p>
        <w:p w14:paraId="75B3DB06" w14:textId="60489A56" w:rsidR="009E2D2C" w:rsidRDefault="004A399B">
          <w:pPr>
            <w:pStyle w:val="TOC3"/>
            <w:rPr>
              <w:rFonts w:asciiTheme="minorHAnsi" w:eastAsiaTheme="minorEastAsia" w:hAnsiTheme="minorHAnsi" w:cstheme="minorBidi"/>
              <w:b w:val="0"/>
              <w:sz w:val="22"/>
              <w:szCs w:val="22"/>
              <w:lang w:eastAsia="ro-RO"/>
            </w:rPr>
          </w:pPr>
          <w:hyperlink w:anchor="_Toc84584806" w:history="1">
            <w:r w:rsidR="009E2D2C" w:rsidRPr="0018672B">
              <w:rPr>
                <w:rStyle w:val="Hyperlink"/>
              </w:rPr>
              <w:t xml:space="preserve">5. </w:t>
            </w:r>
            <w:r w:rsidR="009E2D2C" w:rsidRPr="0018672B">
              <w:rPr>
                <w:rStyle w:val="Hyperlink"/>
                <w:rFonts w:eastAsia="Times New Roman"/>
                <w:bCs/>
                <w:lang w:eastAsia="ro-RO"/>
              </w:rPr>
              <w:t>Conflict între marcă și denumirea unei societăţi comerciale. Similaritate scăzută a semnelor. Produse şi servicii identice. Utilizarea semnului conform practicilor loiale</w:t>
            </w:r>
            <w:r w:rsidR="009E2D2C">
              <w:rPr>
                <w:webHidden/>
              </w:rPr>
              <w:tab/>
            </w:r>
            <w:r w:rsidR="009E2D2C">
              <w:rPr>
                <w:webHidden/>
              </w:rPr>
              <w:fldChar w:fldCharType="begin"/>
            </w:r>
            <w:r w:rsidR="009E2D2C">
              <w:rPr>
                <w:webHidden/>
              </w:rPr>
              <w:instrText xml:space="preserve"> PAGEREF _Toc84584806 \h </w:instrText>
            </w:r>
            <w:r w:rsidR="009E2D2C">
              <w:rPr>
                <w:webHidden/>
              </w:rPr>
            </w:r>
            <w:r w:rsidR="009E2D2C">
              <w:rPr>
                <w:webHidden/>
              </w:rPr>
              <w:fldChar w:fldCharType="separate"/>
            </w:r>
            <w:r w:rsidR="009E2D2C">
              <w:rPr>
                <w:webHidden/>
              </w:rPr>
              <w:t>70</w:t>
            </w:r>
            <w:r w:rsidR="009E2D2C">
              <w:rPr>
                <w:webHidden/>
              </w:rPr>
              <w:fldChar w:fldCharType="end"/>
            </w:r>
          </w:hyperlink>
        </w:p>
        <w:p w14:paraId="0FE65C82" w14:textId="135F9D68" w:rsidR="009E2D2C" w:rsidRDefault="004A399B">
          <w:pPr>
            <w:pStyle w:val="TOC1"/>
            <w:rPr>
              <w:rFonts w:asciiTheme="minorHAnsi" w:eastAsiaTheme="minorEastAsia" w:hAnsiTheme="minorHAnsi" w:cstheme="minorBidi"/>
              <w:b w:val="0"/>
              <w:caps w:val="0"/>
              <w:sz w:val="22"/>
              <w:szCs w:val="22"/>
              <w:lang w:eastAsia="ro-RO"/>
            </w:rPr>
          </w:pPr>
          <w:hyperlink w:anchor="_Toc84584807" w:history="1">
            <w:r w:rsidR="009E2D2C" w:rsidRPr="0018672B">
              <w:rPr>
                <w:rStyle w:val="Hyperlink"/>
              </w:rPr>
              <w:t>DREPT COMERCIAL</w:t>
            </w:r>
            <w:r w:rsidR="009E2D2C">
              <w:rPr>
                <w:webHidden/>
              </w:rPr>
              <w:tab/>
            </w:r>
            <w:r w:rsidR="009E2D2C">
              <w:rPr>
                <w:webHidden/>
              </w:rPr>
              <w:fldChar w:fldCharType="begin"/>
            </w:r>
            <w:r w:rsidR="009E2D2C">
              <w:rPr>
                <w:webHidden/>
              </w:rPr>
              <w:instrText xml:space="preserve"> PAGEREF _Toc84584807 \h </w:instrText>
            </w:r>
            <w:r w:rsidR="009E2D2C">
              <w:rPr>
                <w:webHidden/>
              </w:rPr>
            </w:r>
            <w:r w:rsidR="009E2D2C">
              <w:rPr>
                <w:webHidden/>
              </w:rPr>
              <w:fldChar w:fldCharType="separate"/>
            </w:r>
            <w:r w:rsidR="009E2D2C">
              <w:rPr>
                <w:webHidden/>
              </w:rPr>
              <w:t>84</w:t>
            </w:r>
            <w:r w:rsidR="009E2D2C">
              <w:rPr>
                <w:webHidden/>
              </w:rPr>
              <w:fldChar w:fldCharType="end"/>
            </w:r>
          </w:hyperlink>
        </w:p>
        <w:p w14:paraId="1377AD4A" w14:textId="4EF28731" w:rsidR="009E2D2C" w:rsidRDefault="004A399B">
          <w:pPr>
            <w:pStyle w:val="TOC2"/>
            <w:rPr>
              <w:rFonts w:asciiTheme="minorHAnsi" w:eastAsiaTheme="minorEastAsia" w:hAnsiTheme="minorHAnsi" w:cstheme="minorBidi"/>
              <w:i w:val="0"/>
              <w:spacing w:val="0"/>
              <w:sz w:val="22"/>
              <w:szCs w:val="22"/>
              <w:lang w:eastAsia="ro-RO"/>
            </w:rPr>
          </w:pPr>
          <w:hyperlink w:anchor="_Toc84584808" w:history="1">
            <w:r w:rsidR="009E2D2C" w:rsidRPr="0018672B">
              <w:rPr>
                <w:rStyle w:val="Hyperlink"/>
                <w:rFonts w:eastAsia="Times New Roman"/>
                <w:b/>
              </w:rPr>
              <w:t>I. Funcționarea societăților</w:t>
            </w:r>
            <w:r w:rsidR="009E2D2C">
              <w:rPr>
                <w:webHidden/>
              </w:rPr>
              <w:tab/>
            </w:r>
            <w:r w:rsidR="009E2D2C">
              <w:rPr>
                <w:webHidden/>
              </w:rPr>
              <w:fldChar w:fldCharType="begin"/>
            </w:r>
            <w:r w:rsidR="009E2D2C">
              <w:rPr>
                <w:webHidden/>
              </w:rPr>
              <w:instrText xml:space="preserve"> PAGEREF _Toc84584808 \h </w:instrText>
            </w:r>
            <w:r w:rsidR="009E2D2C">
              <w:rPr>
                <w:webHidden/>
              </w:rPr>
            </w:r>
            <w:r w:rsidR="009E2D2C">
              <w:rPr>
                <w:webHidden/>
              </w:rPr>
              <w:fldChar w:fldCharType="separate"/>
            </w:r>
            <w:r w:rsidR="009E2D2C">
              <w:rPr>
                <w:webHidden/>
              </w:rPr>
              <w:t>84</w:t>
            </w:r>
            <w:r w:rsidR="009E2D2C">
              <w:rPr>
                <w:webHidden/>
              </w:rPr>
              <w:fldChar w:fldCharType="end"/>
            </w:r>
          </w:hyperlink>
        </w:p>
        <w:p w14:paraId="713F9CFD" w14:textId="2713E544" w:rsidR="009E2D2C" w:rsidRDefault="004A399B">
          <w:pPr>
            <w:pStyle w:val="TOC3"/>
            <w:rPr>
              <w:rFonts w:asciiTheme="minorHAnsi" w:eastAsiaTheme="minorEastAsia" w:hAnsiTheme="minorHAnsi" w:cstheme="minorBidi"/>
              <w:b w:val="0"/>
              <w:sz w:val="22"/>
              <w:szCs w:val="22"/>
              <w:lang w:eastAsia="ro-RO"/>
            </w:rPr>
          </w:pPr>
          <w:hyperlink w:anchor="_Toc84584809" w:history="1">
            <w:r w:rsidR="009E2D2C" w:rsidRPr="0018672B">
              <w:rPr>
                <w:rStyle w:val="Hyperlink"/>
              </w:rPr>
              <w:t xml:space="preserve">1. </w:t>
            </w:r>
            <w:r w:rsidR="009E2D2C">
              <w:rPr>
                <w:rFonts w:asciiTheme="minorHAnsi" w:eastAsiaTheme="minorEastAsia" w:hAnsiTheme="minorHAnsi" w:cstheme="minorBidi"/>
                <w:b w:val="0"/>
                <w:sz w:val="22"/>
                <w:szCs w:val="22"/>
                <w:lang w:eastAsia="ro-RO"/>
              </w:rPr>
              <w:tab/>
            </w:r>
            <w:r w:rsidR="009E2D2C" w:rsidRPr="0018672B">
              <w:rPr>
                <w:rStyle w:val="Hyperlink"/>
                <w:shd w:val="clear" w:color="auto" w:fill="FFFFFF"/>
                <w:lang w:eastAsia="ro-RO"/>
              </w:rPr>
              <w:t>Societate pe acțiuni. Contract de mandat. Acțiune în constatarea nulității absolute a clauzei contractuale de stabilire a unei remunerații suplimentare. Încălcarea dispozițiilor art. 153</w:t>
            </w:r>
            <w:r w:rsidR="009E2D2C" w:rsidRPr="0018672B">
              <w:rPr>
                <w:rStyle w:val="Hyperlink"/>
                <w:shd w:val="clear" w:color="auto" w:fill="FFFFFF"/>
                <w:vertAlign w:val="superscript"/>
                <w:lang w:eastAsia="ro-RO"/>
              </w:rPr>
              <w:t>18</w:t>
            </w:r>
            <w:r w:rsidR="009E2D2C" w:rsidRPr="0018672B">
              <w:rPr>
                <w:rStyle w:val="Hyperlink"/>
                <w:shd w:val="clear" w:color="auto" w:fill="FFFFFF"/>
                <w:lang w:eastAsia="ro-RO"/>
              </w:rPr>
              <w:t xml:space="preserve"> din Legea nr. 31/1990. Consecințe</w:t>
            </w:r>
            <w:r w:rsidR="009E2D2C">
              <w:rPr>
                <w:webHidden/>
              </w:rPr>
              <w:tab/>
            </w:r>
            <w:r w:rsidR="009E2D2C">
              <w:rPr>
                <w:webHidden/>
              </w:rPr>
              <w:fldChar w:fldCharType="begin"/>
            </w:r>
            <w:r w:rsidR="009E2D2C">
              <w:rPr>
                <w:webHidden/>
              </w:rPr>
              <w:instrText xml:space="preserve"> PAGEREF _Toc84584809 \h </w:instrText>
            </w:r>
            <w:r w:rsidR="009E2D2C">
              <w:rPr>
                <w:webHidden/>
              </w:rPr>
            </w:r>
            <w:r w:rsidR="009E2D2C">
              <w:rPr>
                <w:webHidden/>
              </w:rPr>
              <w:fldChar w:fldCharType="separate"/>
            </w:r>
            <w:r w:rsidR="009E2D2C">
              <w:rPr>
                <w:webHidden/>
              </w:rPr>
              <w:t>84</w:t>
            </w:r>
            <w:r w:rsidR="009E2D2C">
              <w:rPr>
                <w:webHidden/>
              </w:rPr>
              <w:fldChar w:fldCharType="end"/>
            </w:r>
          </w:hyperlink>
        </w:p>
        <w:p w14:paraId="30767D16" w14:textId="0683386A" w:rsidR="009E2D2C" w:rsidRDefault="004A399B">
          <w:pPr>
            <w:pStyle w:val="TOC2"/>
            <w:rPr>
              <w:rFonts w:asciiTheme="minorHAnsi" w:eastAsiaTheme="minorEastAsia" w:hAnsiTheme="minorHAnsi" w:cstheme="minorBidi"/>
              <w:i w:val="0"/>
              <w:spacing w:val="0"/>
              <w:sz w:val="22"/>
              <w:szCs w:val="22"/>
              <w:lang w:eastAsia="ro-RO"/>
            </w:rPr>
          </w:pPr>
          <w:hyperlink w:anchor="_Toc84584810" w:history="1">
            <w:r w:rsidR="009E2D2C" w:rsidRPr="0018672B">
              <w:rPr>
                <w:rStyle w:val="Hyperlink"/>
                <w:rFonts w:eastAsia="Times New Roman"/>
                <w:b/>
              </w:rPr>
              <w:t>II. Obligaţii</w:t>
            </w:r>
            <w:r w:rsidR="009E2D2C">
              <w:rPr>
                <w:webHidden/>
              </w:rPr>
              <w:tab/>
            </w:r>
            <w:r w:rsidR="009E2D2C">
              <w:rPr>
                <w:webHidden/>
              </w:rPr>
              <w:fldChar w:fldCharType="begin"/>
            </w:r>
            <w:r w:rsidR="009E2D2C">
              <w:rPr>
                <w:webHidden/>
              </w:rPr>
              <w:instrText xml:space="preserve"> PAGEREF _Toc84584810 \h </w:instrText>
            </w:r>
            <w:r w:rsidR="009E2D2C">
              <w:rPr>
                <w:webHidden/>
              </w:rPr>
            </w:r>
            <w:r w:rsidR="009E2D2C">
              <w:rPr>
                <w:webHidden/>
              </w:rPr>
              <w:fldChar w:fldCharType="separate"/>
            </w:r>
            <w:r w:rsidR="009E2D2C">
              <w:rPr>
                <w:webHidden/>
              </w:rPr>
              <w:t>88</w:t>
            </w:r>
            <w:r w:rsidR="009E2D2C">
              <w:rPr>
                <w:webHidden/>
              </w:rPr>
              <w:fldChar w:fldCharType="end"/>
            </w:r>
          </w:hyperlink>
        </w:p>
        <w:p w14:paraId="4CA9937A" w14:textId="7C55A47F" w:rsidR="009E2D2C" w:rsidRDefault="004A399B">
          <w:pPr>
            <w:pStyle w:val="TOC3"/>
            <w:rPr>
              <w:rFonts w:asciiTheme="minorHAnsi" w:eastAsiaTheme="minorEastAsia" w:hAnsiTheme="minorHAnsi" w:cstheme="minorBidi"/>
              <w:b w:val="0"/>
              <w:sz w:val="22"/>
              <w:szCs w:val="22"/>
              <w:lang w:eastAsia="ro-RO"/>
            </w:rPr>
          </w:pPr>
          <w:hyperlink w:anchor="_Toc84584811" w:history="1">
            <w:r w:rsidR="009E2D2C" w:rsidRPr="0018672B">
              <w:rPr>
                <w:rStyle w:val="Hyperlink"/>
                <w:lang w:eastAsia="ro-RO"/>
              </w:rPr>
              <w:t>2. Acțiune în pretenții. Daune-interese moratorii aferente unor penalități de întârziere. Anatocism. Condiții și efecte</w:t>
            </w:r>
            <w:r w:rsidR="009E2D2C">
              <w:rPr>
                <w:webHidden/>
              </w:rPr>
              <w:tab/>
            </w:r>
            <w:r w:rsidR="009E2D2C">
              <w:rPr>
                <w:webHidden/>
              </w:rPr>
              <w:fldChar w:fldCharType="begin"/>
            </w:r>
            <w:r w:rsidR="009E2D2C">
              <w:rPr>
                <w:webHidden/>
              </w:rPr>
              <w:instrText xml:space="preserve"> PAGEREF _Toc84584811 \h </w:instrText>
            </w:r>
            <w:r w:rsidR="009E2D2C">
              <w:rPr>
                <w:webHidden/>
              </w:rPr>
            </w:r>
            <w:r w:rsidR="009E2D2C">
              <w:rPr>
                <w:webHidden/>
              </w:rPr>
              <w:fldChar w:fldCharType="separate"/>
            </w:r>
            <w:r w:rsidR="009E2D2C">
              <w:rPr>
                <w:webHidden/>
              </w:rPr>
              <w:t>88</w:t>
            </w:r>
            <w:r w:rsidR="009E2D2C">
              <w:rPr>
                <w:webHidden/>
              </w:rPr>
              <w:fldChar w:fldCharType="end"/>
            </w:r>
          </w:hyperlink>
        </w:p>
        <w:p w14:paraId="208B8B09" w14:textId="2C054A45" w:rsidR="009E2D2C" w:rsidRDefault="004A399B">
          <w:pPr>
            <w:pStyle w:val="TOC3"/>
            <w:rPr>
              <w:rFonts w:asciiTheme="minorHAnsi" w:eastAsiaTheme="minorEastAsia" w:hAnsiTheme="minorHAnsi" w:cstheme="minorBidi"/>
              <w:b w:val="0"/>
              <w:sz w:val="22"/>
              <w:szCs w:val="22"/>
              <w:lang w:eastAsia="ro-RO"/>
            </w:rPr>
          </w:pPr>
          <w:hyperlink w:anchor="_Toc84584812" w:history="1">
            <w:r w:rsidR="009E2D2C" w:rsidRPr="0018672B">
              <w:rPr>
                <w:rStyle w:val="Hyperlink"/>
              </w:rPr>
              <w:t>3. Antecontract de vânzare. Acțiune în constatarea nulității absolute pentru nerespectarea dispozițiilor art. 153 ind. 22 din Legea nr. 31/1990. Condiții și efecte</w:t>
            </w:r>
            <w:r w:rsidR="009E2D2C">
              <w:rPr>
                <w:webHidden/>
              </w:rPr>
              <w:tab/>
            </w:r>
            <w:r w:rsidR="009E2D2C">
              <w:rPr>
                <w:webHidden/>
              </w:rPr>
              <w:fldChar w:fldCharType="begin"/>
            </w:r>
            <w:r w:rsidR="009E2D2C">
              <w:rPr>
                <w:webHidden/>
              </w:rPr>
              <w:instrText xml:space="preserve"> PAGEREF _Toc84584812 \h </w:instrText>
            </w:r>
            <w:r w:rsidR="009E2D2C">
              <w:rPr>
                <w:webHidden/>
              </w:rPr>
            </w:r>
            <w:r w:rsidR="009E2D2C">
              <w:rPr>
                <w:webHidden/>
              </w:rPr>
              <w:fldChar w:fldCharType="separate"/>
            </w:r>
            <w:r w:rsidR="009E2D2C">
              <w:rPr>
                <w:webHidden/>
              </w:rPr>
              <w:t>93</w:t>
            </w:r>
            <w:r w:rsidR="009E2D2C">
              <w:rPr>
                <w:webHidden/>
              </w:rPr>
              <w:fldChar w:fldCharType="end"/>
            </w:r>
          </w:hyperlink>
        </w:p>
        <w:p w14:paraId="24619856" w14:textId="0624CD12" w:rsidR="009E2D2C" w:rsidRDefault="004A399B">
          <w:pPr>
            <w:pStyle w:val="TOC2"/>
            <w:rPr>
              <w:rFonts w:asciiTheme="minorHAnsi" w:eastAsiaTheme="minorEastAsia" w:hAnsiTheme="minorHAnsi" w:cstheme="minorBidi"/>
              <w:i w:val="0"/>
              <w:spacing w:val="0"/>
              <w:sz w:val="22"/>
              <w:szCs w:val="22"/>
              <w:lang w:eastAsia="ro-RO"/>
            </w:rPr>
          </w:pPr>
          <w:hyperlink w:anchor="_Toc84584813" w:history="1">
            <w:r w:rsidR="009E2D2C" w:rsidRPr="0018672B">
              <w:rPr>
                <w:rStyle w:val="Hyperlink"/>
                <w:rFonts w:eastAsia="Times New Roman"/>
                <w:b/>
              </w:rPr>
              <w:t>III. Contracte comerciale</w:t>
            </w:r>
            <w:r w:rsidR="009E2D2C">
              <w:rPr>
                <w:webHidden/>
              </w:rPr>
              <w:tab/>
            </w:r>
            <w:r w:rsidR="009E2D2C">
              <w:rPr>
                <w:webHidden/>
              </w:rPr>
              <w:fldChar w:fldCharType="begin"/>
            </w:r>
            <w:r w:rsidR="009E2D2C">
              <w:rPr>
                <w:webHidden/>
              </w:rPr>
              <w:instrText xml:space="preserve"> PAGEREF _Toc84584813 \h </w:instrText>
            </w:r>
            <w:r w:rsidR="009E2D2C">
              <w:rPr>
                <w:webHidden/>
              </w:rPr>
            </w:r>
            <w:r w:rsidR="009E2D2C">
              <w:rPr>
                <w:webHidden/>
              </w:rPr>
              <w:fldChar w:fldCharType="separate"/>
            </w:r>
            <w:r w:rsidR="009E2D2C">
              <w:rPr>
                <w:webHidden/>
              </w:rPr>
              <w:t>98</w:t>
            </w:r>
            <w:r w:rsidR="009E2D2C">
              <w:rPr>
                <w:webHidden/>
              </w:rPr>
              <w:fldChar w:fldCharType="end"/>
            </w:r>
          </w:hyperlink>
        </w:p>
        <w:p w14:paraId="4F1DDA55" w14:textId="690AE0CA" w:rsidR="009E2D2C" w:rsidRDefault="004A399B">
          <w:pPr>
            <w:pStyle w:val="TOC3"/>
            <w:rPr>
              <w:rFonts w:asciiTheme="minorHAnsi" w:eastAsiaTheme="minorEastAsia" w:hAnsiTheme="minorHAnsi" w:cstheme="minorBidi"/>
              <w:b w:val="0"/>
              <w:sz w:val="22"/>
              <w:szCs w:val="22"/>
              <w:lang w:eastAsia="ro-RO"/>
            </w:rPr>
          </w:pPr>
          <w:hyperlink w:anchor="_Toc84584814" w:history="1">
            <w:r w:rsidR="009E2D2C" w:rsidRPr="0018672B">
              <w:rPr>
                <w:rStyle w:val="Hyperlink"/>
              </w:rPr>
              <w:t>4. Contract de mandat. Acțiune în pretenții având ca obiect bonusul de performanță. Condiții pentru acordarea acestuia în raport cu clauzele contractuale</w:t>
            </w:r>
            <w:r w:rsidR="009E2D2C">
              <w:rPr>
                <w:webHidden/>
              </w:rPr>
              <w:tab/>
            </w:r>
            <w:r w:rsidR="009E2D2C">
              <w:rPr>
                <w:webHidden/>
              </w:rPr>
              <w:fldChar w:fldCharType="begin"/>
            </w:r>
            <w:r w:rsidR="009E2D2C">
              <w:rPr>
                <w:webHidden/>
              </w:rPr>
              <w:instrText xml:space="preserve"> PAGEREF _Toc84584814 \h </w:instrText>
            </w:r>
            <w:r w:rsidR="009E2D2C">
              <w:rPr>
                <w:webHidden/>
              </w:rPr>
            </w:r>
            <w:r w:rsidR="009E2D2C">
              <w:rPr>
                <w:webHidden/>
              </w:rPr>
              <w:fldChar w:fldCharType="separate"/>
            </w:r>
            <w:r w:rsidR="009E2D2C">
              <w:rPr>
                <w:webHidden/>
              </w:rPr>
              <w:t>98</w:t>
            </w:r>
            <w:r w:rsidR="009E2D2C">
              <w:rPr>
                <w:webHidden/>
              </w:rPr>
              <w:fldChar w:fldCharType="end"/>
            </w:r>
          </w:hyperlink>
        </w:p>
        <w:p w14:paraId="474DC678" w14:textId="4C2A82E8" w:rsidR="009E2D2C" w:rsidRDefault="004A399B">
          <w:pPr>
            <w:pStyle w:val="TOC1"/>
            <w:rPr>
              <w:rFonts w:asciiTheme="minorHAnsi" w:eastAsiaTheme="minorEastAsia" w:hAnsiTheme="minorHAnsi" w:cstheme="minorBidi"/>
              <w:b w:val="0"/>
              <w:caps w:val="0"/>
              <w:sz w:val="22"/>
              <w:szCs w:val="22"/>
              <w:lang w:eastAsia="ro-RO"/>
            </w:rPr>
          </w:pPr>
          <w:hyperlink w:anchor="_Toc84584815" w:history="1">
            <w:r w:rsidR="009E2D2C" w:rsidRPr="0018672B">
              <w:rPr>
                <w:rStyle w:val="Hyperlink"/>
              </w:rPr>
              <w:t>DREPT FINANCIAR ŞI FISCAL</w:t>
            </w:r>
            <w:r w:rsidR="009E2D2C">
              <w:rPr>
                <w:webHidden/>
              </w:rPr>
              <w:tab/>
            </w:r>
            <w:r w:rsidR="009E2D2C">
              <w:rPr>
                <w:webHidden/>
              </w:rPr>
              <w:fldChar w:fldCharType="begin"/>
            </w:r>
            <w:r w:rsidR="009E2D2C">
              <w:rPr>
                <w:webHidden/>
              </w:rPr>
              <w:instrText xml:space="preserve"> PAGEREF _Toc84584815 \h </w:instrText>
            </w:r>
            <w:r w:rsidR="009E2D2C">
              <w:rPr>
                <w:webHidden/>
              </w:rPr>
            </w:r>
            <w:r w:rsidR="009E2D2C">
              <w:rPr>
                <w:webHidden/>
              </w:rPr>
              <w:fldChar w:fldCharType="separate"/>
            </w:r>
            <w:r w:rsidR="009E2D2C">
              <w:rPr>
                <w:webHidden/>
              </w:rPr>
              <w:t>108</w:t>
            </w:r>
            <w:r w:rsidR="009E2D2C">
              <w:rPr>
                <w:webHidden/>
              </w:rPr>
              <w:fldChar w:fldCharType="end"/>
            </w:r>
          </w:hyperlink>
        </w:p>
        <w:p w14:paraId="0DC3D066" w14:textId="10A004E8" w:rsidR="009E2D2C" w:rsidRDefault="004A399B">
          <w:pPr>
            <w:pStyle w:val="TOC3"/>
            <w:rPr>
              <w:rFonts w:asciiTheme="minorHAnsi" w:eastAsiaTheme="minorEastAsia" w:hAnsiTheme="minorHAnsi" w:cstheme="minorBidi"/>
              <w:b w:val="0"/>
              <w:sz w:val="22"/>
              <w:szCs w:val="22"/>
              <w:lang w:eastAsia="ro-RO"/>
            </w:rPr>
          </w:pPr>
          <w:hyperlink w:anchor="_Toc84584816" w:history="1">
            <w:r w:rsidR="009E2D2C" w:rsidRPr="0018672B">
              <w:rPr>
                <w:rStyle w:val="Hyperlink"/>
                <w:shd w:val="clear" w:color="auto" w:fill="FFFFFF"/>
              </w:rPr>
              <w:t>1. Act administrativ-fiscal. Comunicare. Nerespectarea de către organul fiscal a cerințelor legale privitoare la comunicarea actului administrativ fiscal contestat. Nelegalitatea soluției de respingere ca tardivă a contestației formulate în temeiul art. 218 din Codul de procedură fiscală.</w:t>
            </w:r>
            <w:r w:rsidR="009E2D2C">
              <w:rPr>
                <w:webHidden/>
              </w:rPr>
              <w:tab/>
            </w:r>
            <w:r w:rsidR="009E2D2C">
              <w:rPr>
                <w:webHidden/>
              </w:rPr>
              <w:fldChar w:fldCharType="begin"/>
            </w:r>
            <w:r w:rsidR="009E2D2C">
              <w:rPr>
                <w:webHidden/>
              </w:rPr>
              <w:instrText xml:space="preserve"> PAGEREF _Toc84584816 \h </w:instrText>
            </w:r>
            <w:r w:rsidR="009E2D2C">
              <w:rPr>
                <w:webHidden/>
              </w:rPr>
            </w:r>
            <w:r w:rsidR="009E2D2C">
              <w:rPr>
                <w:webHidden/>
              </w:rPr>
              <w:fldChar w:fldCharType="separate"/>
            </w:r>
            <w:r w:rsidR="009E2D2C">
              <w:rPr>
                <w:webHidden/>
              </w:rPr>
              <w:t>108</w:t>
            </w:r>
            <w:r w:rsidR="009E2D2C">
              <w:rPr>
                <w:webHidden/>
              </w:rPr>
              <w:fldChar w:fldCharType="end"/>
            </w:r>
          </w:hyperlink>
        </w:p>
        <w:p w14:paraId="2C1E94A0" w14:textId="10A63B4B" w:rsidR="009E2D2C" w:rsidRDefault="004A399B">
          <w:pPr>
            <w:pStyle w:val="TOC3"/>
            <w:rPr>
              <w:rFonts w:asciiTheme="minorHAnsi" w:eastAsiaTheme="minorEastAsia" w:hAnsiTheme="minorHAnsi" w:cstheme="minorBidi"/>
              <w:b w:val="0"/>
              <w:sz w:val="22"/>
              <w:szCs w:val="22"/>
              <w:lang w:eastAsia="ro-RO"/>
            </w:rPr>
          </w:pPr>
          <w:hyperlink w:anchor="_Toc84584817" w:history="1">
            <w:r w:rsidR="009E2D2C" w:rsidRPr="0018672B">
              <w:rPr>
                <w:rStyle w:val="Hyperlink"/>
                <w:shd w:val="clear" w:color="auto" w:fill="FFFFFF"/>
              </w:rPr>
              <w:t xml:space="preserve">2. </w:t>
            </w:r>
            <w:r w:rsidR="009E2D2C" w:rsidRPr="0018672B">
              <w:rPr>
                <w:rStyle w:val="Hyperlink"/>
                <w:bCs/>
                <w:iCs/>
              </w:rPr>
              <w:t>Cheltuielile cu dobânzile şi cu pierderea netă din diferenţele de curs valutar. Condițiile legale privitoare la dobândirea caracterului deductibil. Acțiune în anularea pct. 60 teza I din Normele Metodologice de punere în aplicare a Codului fiscal, aprobate prin HG nr. 44/2004. Netemeinicie.</w:t>
            </w:r>
            <w:r w:rsidR="009E2D2C">
              <w:rPr>
                <w:webHidden/>
              </w:rPr>
              <w:tab/>
            </w:r>
            <w:r w:rsidR="009E2D2C">
              <w:rPr>
                <w:webHidden/>
              </w:rPr>
              <w:fldChar w:fldCharType="begin"/>
            </w:r>
            <w:r w:rsidR="009E2D2C">
              <w:rPr>
                <w:webHidden/>
              </w:rPr>
              <w:instrText xml:space="preserve"> PAGEREF _Toc84584817 \h </w:instrText>
            </w:r>
            <w:r w:rsidR="009E2D2C">
              <w:rPr>
                <w:webHidden/>
              </w:rPr>
            </w:r>
            <w:r w:rsidR="009E2D2C">
              <w:rPr>
                <w:webHidden/>
              </w:rPr>
              <w:fldChar w:fldCharType="separate"/>
            </w:r>
            <w:r w:rsidR="009E2D2C">
              <w:rPr>
                <w:webHidden/>
              </w:rPr>
              <w:t>114</w:t>
            </w:r>
            <w:r w:rsidR="009E2D2C">
              <w:rPr>
                <w:webHidden/>
              </w:rPr>
              <w:fldChar w:fldCharType="end"/>
            </w:r>
          </w:hyperlink>
        </w:p>
        <w:p w14:paraId="2C38811D" w14:textId="58A3D706" w:rsidR="009E2D2C" w:rsidRDefault="004A399B">
          <w:pPr>
            <w:pStyle w:val="TOC3"/>
            <w:rPr>
              <w:rFonts w:asciiTheme="minorHAnsi" w:eastAsiaTheme="minorEastAsia" w:hAnsiTheme="minorHAnsi" w:cstheme="minorBidi"/>
              <w:b w:val="0"/>
              <w:sz w:val="22"/>
              <w:szCs w:val="22"/>
              <w:lang w:eastAsia="ro-RO"/>
            </w:rPr>
          </w:pPr>
          <w:hyperlink w:anchor="_Toc84584818" w:history="1">
            <w:r w:rsidR="009E2D2C" w:rsidRPr="0018672B">
              <w:rPr>
                <w:rStyle w:val="Hyperlink"/>
              </w:rPr>
              <w:t xml:space="preserve">3. Impozitarea produselor energetice și a electricității. Regimul accizării energiei electrice utilizate pentru producția combinată de energie electrică şi energie termică. Deosebire de tratament între operatorii economici care efectuează achiziţii intracomunitare sau importuri din state terţe, nemembre UE, şi operatorii economici care achiziţionează astfel de produse pe plan naţional. </w:t>
            </w:r>
            <w:r w:rsidR="009E2D2C" w:rsidRPr="0018672B">
              <w:rPr>
                <w:rStyle w:val="Hyperlink"/>
              </w:rPr>
              <w:lastRenderedPageBreak/>
              <w:t>Nelegalitate. Principiile liberei concurențe în economia de piață. Acțiune având ca obiect anularea punctului 94 alin. (1) lit. c) din Normelor metodologice de aplicare a Legii nr. 227/2015 privind Codul fiscal, aprobate prin HG nr. 1/2016.</w:t>
            </w:r>
            <w:r w:rsidR="009E2D2C">
              <w:rPr>
                <w:webHidden/>
              </w:rPr>
              <w:tab/>
            </w:r>
            <w:r w:rsidR="009E2D2C">
              <w:rPr>
                <w:webHidden/>
              </w:rPr>
              <w:fldChar w:fldCharType="begin"/>
            </w:r>
            <w:r w:rsidR="009E2D2C">
              <w:rPr>
                <w:webHidden/>
              </w:rPr>
              <w:instrText xml:space="preserve"> PAGEREF _Toc84584818 \h </w:instrText>
            </w:r>
            <w:r w:rsidR="009E2D2C">
              <w:rPr>
                <w:webHidden/>
              </w:rPr>
            </w:r>
            <w:r w:rsidR="009E2D2C">
              <w:rPr>
                <w:webHidden/>
              </w:rPr>
              <w:fldChar w:fldCharType="separate"/>
            </w:r>
            <w:r w:rsidR="009E2D2C">
              <w:rPr>
                <w:webHidden/>
              </w:rPr>
              <w:t>120</w:t>
            </w:r>
            <w:r w:rsidR="009E2D2C">
              <w:rPr>
                <w:webHidden/>
              </w:rPr>
              <w:fldChar w:fldCharType="end"/>
            </w:r>
          </w:hyperlink>
        </w:p>
        <w:p w14:paraId="0EBDF7DA" w14:textId="5C497B54" w:rsidR="009E2D2C" w:rsidRDefault="004A399B">
          <w:pPr>
            <w:pStyle w:val="TOC1"/>
            <w:rPr>
              <w:rFonts w:asciiTheme="minorHAnsi" w:eastAsiaTheme="minorEastAsia" w:hAnsiTheme="minorHAnsi" w:cstheme="minorBidi"/>
              <w:b w:val="0"/>
              <w:caps w:val="0"/>
              <w:sz w:val="22"/>
              <w:szCs w:val="22"/>
              <w:lang w:eastAsia="ro-RO"/>
            </w:rPr>
          </w:pPr>
          <w:hyperlink w:anchor="_Toc84584819" w:history="1">
            <w:r w:rsidR="009E2D2C" w:rsidRPr="0018672B">
              <w:rPr>
                <w:rStyle w:val="Hyperlink"/>
              </w:rPr>
              <w:t>DREPT PENAL</w:t>
            </w:r>
            <w:r w:rsidR="009E2D2C">
              <w:rPr>
                <w:webHidden/>
              </w:rPr>
              <w:tab/>
            </w:r>
            <w:r w:rsidR="009E2D2C">
              <w:rPr>
                <w:webHidden/>
              </w:rPr>
              <w:fldChar w:fldCharType="begin"/>
            </w:r>
            <w:r w:rsidR="009E2D2C">
              <w:rPr>
                <w:webHidden/>
              </w:rPr>
              <w:instrText xml:space="preserve"> PAGEREF _Toc84584819 \h </w:instrText>
            </w:r>
            <w:r w:rsidR="009E2D2C">
              <w:rPr>
                <w:webHidden/>
              </w:rPr>
            </w:r>
            <w:r w:rsidR="009E2D2C">
              <w:rPr>
                <w:webHidden/>
              </w:rPr>
              <w:fldChar w:fldCharType="separate"/>
            </w:r>
            <w:r w:rsidR="009E2D2C">
              <w:rPr>
                <w:webHidden/>
              </w:rPr>
              <w:t>136</w:t>
            </w:r>
            <w:r w:rsidR="009E2D2C">
              <w:rPr>
                <w:webHidden/>
              </w:rPr>
              <w:fldChar w:fldCharType="end"/>
            </w:r>
          </w:hyperlink>
        </w:p>
        <w:p w14:paraId="28DA1028" w14:textId="449A27C3" w:rsidR="009E2D2C" w:rsidRDefault="004A399B">
          <w:pPr>
            <w:pStyle w:val="TOC3"/>
            <w:rPr>
              <w:rFonts w:asciiTheme="minorHAnsi" w:eastAsiaTheme="minorEastAsia" w:hAnsiTheme="minorHAnsi" w:cstheme="minorBidi"/>
              <w:b w:val="0"/>
              <w:sz w:val="22"/>
              <w:szCs w:val="22"/>
              <w:lang w:eastAsia="ro-RO"/>
            </w:rPr>
          </w:pPr>
          <w:hyperlink w:anchor="_Toc84584820" w:history="1">
            <w:r w:rsidR="009E2D2C" w:rsidRPr="0018672B">
              <w:rPr>
                <w:rStyle w:val="Hyperlink"/>
              </w:rPr>
              <w:t>1. Abuz în serviciu. Sustragerea sau distrugerea de înscrisuri. Favorizarea făptuitorului. Sustragerea sau distrugerea de probe ori de înscrisuri. Recurs în casaţie. Cazul prevăzut în art. 438 alin. (1) pct. 7 C. proc. pen.</w:t>
            </w:r>
            <w:r w:rsidR="009E2D2C">
              <w:rPr>
                <w:webHidden/>
              </w:rPr>
              <w:tab/>
            </w:r>
            <w:r w:rsidR="009E2D2C">
              <w:rPr>
                <w:webHidden/>
              </w:rPr>
              <w:fldChar w:fldCharType="begin"/>
            </w:r>
            <w:r w:rsidR="009E2D2C">
              <w:rPr>
                <w:webHidden/>
              </w:rPr>
              <w:instrText xml:space="preserve"> PAGEREF _Toc84584820 \h </w:instrText>
            </w:r>
            <w:r w:rsidR="009E2D2C">
              <w:rPr>
                <w:webHidden/>
              </w:rPr>
            </w:r>
            <w:r w:rsidR="009E2D2C">
              <w:rPr>
                <w:webHidden/>
              </w:rPr>
              <w:fldChar w:fldCharType="separate"/>
            </w:r>
            <w:r w:rsidR="009E2D2C">
              <w:rPr>
                <w:webHidden/>
              </w:rPr>
              <w:t>136</w:t>
            </w:r>
            <w:r w:rsidR="009E2D2C">
              <w:rPr>
                <w:webHidden/>
              </w:rPr>
              <w:fldChar w:fldCharType="end"/>
            </w:r>
          </w:hyperlink>
        </w:p>
        <w:p w14:paraId="50AA9D94" w14:textId="3D9A32F4" w:rsidR="009E2D2C" w:rsidRDefault="004A399B">
          <w:pPr>
            <w:pStyle w:val="TOC3"/>
            <w:rPr>
              <w:rFonts w:asciiTheme="minorHAnsi" w:eastAsiaTheme="minorEastAsia" w:hAnsiTheme="minorHAnsi" w:cstheme="minorBidi"/>
              <w:b w:val="0"/>
              <w:sz w:val="22"/>
              <w:szCs w:val="22"/>
              <w:lang w:eastAsia="ro-RO"/>
            </w:rPr>
          </w:pPr>
          <w:hyperlink w:anchor="_Toc84584821" w:history="1">
            <w:r w:rsidR="009E2D2C" w:rsidRPr="0018672B">
              <w:rPr>
                <w:rStyle w:val="Hyperlink"/>
              </w:rPr>
              <w:t>2. Uzurparea funcţiei. Instigare la lipsire de libertate în mod ilegal. Instigare la lovire sau alte violenţe. Analiza elementelor de tipicitate</w:t>
            </w:r>
            <w:r w:rsidR="009E2D2C">
              <w:rPr>
                <w:webHidden/>
              </w:rPr>
              <w:tab/>
            </w:r>
            <w:r w:rsidR="009E2D2C">
              <w:rPr>
                <w:webHidden/>
              </w:rPr>
              <w:fldChar w:fldCharType="begin"/>
            </w:r>
            <w:r w:rsidR="009E2D2C">
              <w:rPr>
                <w:webHidden/>
              </w:rPr>
              <w:instrText xml:space="preserve"> PAGEREF _Toc84584821 \h </w:instrText>
            </w:r>
            <w:r w:rsidR="009E2D2C">
              <w:rPr>
                <w:webHidden/>
              </w:rPr>
            </w:r>
            <w:r w:rsidR="009E2D2C">
              <w:rPr>
                <w:webHidden/>
              </w:rPr>
              <w:fldChar w:fldCharType="separate"/>
            </w:r>
            <w:r w:rsidR="009E2D2C">
              <w:rPr>
                <w:webHidden/>
              </w:rPr>
              <w:t>145</w:t>
            </w:r>
            <w:r w:rsidR="009E2D2C">
              <w:rPr>
                <w:webHidden/>
              </w:rPr>
              <w:fldChar w:fldCharType="end"/>
            </w:r>
          </w:hyperlink>
        </w:p>
        <w:p w14:paraId="3C6C28CF" w14:textId="1CFB5C9E" w:rsidR="009E2D2C" w:rsidRDefault="004A399B">
          <w:pPr>
            <w:pStyle w:val="TOC1"/>
            <w:rPr>
              <w:rFonts w:asciiTheme="minorHAnsi" w:eastAsiaTheme="minorEastAsia" w:hAnsiTheme="minorHAnsi" w:cstheme="minorBidi"/>
              <w:b w:val="0"/>
              <w:caps w:val="0"/>
              <w:sz w:val="22"/>
              <w:szCs w:val="22"/>
              <w:lang w:eastAsia="ro-RO"/>
            </w:rPr>
          </w:pPr>
          <w:hyperlink w:anchor="_Toc84584822" w:history="1">
            <w:r w:rsidR="009E2D2C" w:rsidRPr="0018672B">
              <w:rPr>
                <w:rStyle w:val="Hyperlink"/>
              </w:rPr>
              <w:t>DREPT PROCESUAL CIVIL</w:t>
            </w:r>
            <w:r w:rsidR="009E2D2C">
              <w:rPr>
                <w:webHidden/>
              </w:rPr>
              <w:tab/>
            </w:r>
            <w:r w:rsidR="009E2D2C">
              <w:rPr>
                <w:webHidden/>
              </w:rPr>
              <w:fldChar w:fldCharType="begin"/>
            </w:r>
            <w:r w:rsidR="009E2D2C">
              <w:rPr>
                <w:webHidden/>
              </w:rPr>
              <w:instrText xml:space="preserve"> PAGEREF _Toc84584822 \h </w:instrText>
            </w:r>
            <w:r w:rsidR="009E2D2C">
              <w:rPr>
                <w:webHidden/>
              </w:rPr>
            </w:r>
            <w:r w:rsidR="009E2D2C">
              <w:rPr>
                <w:webHidden/>
              </w:rPr>
              <w:fldChar w:fldCharType="separate"/>
            </w:r>
            <w:r w:rsidR="009E2D2C">
              <w:rPr>
                <w:webHidden/>
              </w:rPr>
              <w:t>158</w:t>
            </w:r>
            <w:r w:rsidR="009E2D2C">
              <w:rPr>
                <w:webHidden/>
              </w:rPr>
              <w:fldChar w:fldCharType="end"/>
            </w:r>
          </w:hyperlink>
        </w:p>
        <w:p w14:paraId="1C665236" w14:textId="5D17F3DD" w:rsidR="009E2D2C" w:rsidRDefault="004A399B">
          <w:pPr>
            <w:pStyle w:val="TOC2"/>
            <w:rPr>
              <w:rFonts w:asciiTheme="minorHAnsi" w:eastAsiaTheme="minorEastAsia" w:hAnsiTheme="minorHAnsi" w:cstheme="minorBidi"/>
              <w:i w:val="0"/>
              <w:spacing w:val="0"/>
              <w:sz w:val="22"/>
              <w:szCs w:val="22"/>
              <w:lang w:eastAsia="ro-RO"/>
            </w:rPr>
          </w:pPr>
          <w:hyperlink w:anchor="_Toc84584823" w:history="1">
            <w:r w:rsidR="009E2D2C" w:rsidRPr="0018672B">
              <w:rPr>
                <w:rStyle w:val="Hyperlink"/>
                <w:b/>
                <w:bCs/>
              </w:rPr>
              <w:t>I. Competenţa instanţelor judecătoreşti</w:t>
            </w:r>
            <w:r w:rsidR="009E2D2C">
              <w:rPr>
                <w:webHidden/>
              </w:rPr>
              <w:tab/>
            </w:r>
            <w:r w:rsidR="009E2D2C">
              <w:rPr>
                <w:webHidden/>
              </w:rPr>
              <w:fldChar w:fldCharType="begin"/>
            </w:r>
            <w:r w:rsidR="009E2D2C">
              <w:rPr>
                <w:webHidden/>
              </w:rPr>
              <w:instrText xml:space="preserve"> PAGEREF _Toc84584823 \h </w:instrText>
            </w:r>
            <w:r w:rsidR="009E2D2C">
              <w:rPr>
                <w:webHidden/>
              </w:rPr>
            </w:r>
            <w:r w:rsidR="009E2D2C">
              <w:rPr>
                <w:webHidden/>
              </w:rPr>
              <w:fldChar w:fldCharType="separate"/>
            </w:r>
            <w:r w:rsidR="009E2D2C">
              <w:rPr>
                <w:webHidden/>
              </w:rPr>
              <w:t>158</w:t>
            </w:r>
            <w:r w:rsidR="009E2D2C">
              <w:rPr>
                <w:webHidden/>
              </w:rPr>
              <w:fldChar w:fldCharType="end"/>
            </w:r>
          </w:hyperlink>
        </w:p>
        <w:p w14:paraId="1C6CA042" w14:textId="6DA02B13" w:rsidR="009E2D2C" w:rsidRDefault="004A399B">
          <w:pPr>
            <w:pStyle w:val="TOC3"/>
            <w:rPr>
              <w:rFonts w:asciiTheme="minorHAnsi" w:eastAsiaTheme="minorEastAsia" w:hAnsiTheme="minorHAnsi" w:cstheme="minorBidi"/>
              <w:b w:val="0"/>
              <w:sz w:val="22"/>
              <w:szCs w:val="22"/>
              <w:lang w:eastAsia="ro-RO"/>
            </w:rPr>
          </w:pPr>
          <w:hyperlink w:anchor="_Toc84584824" w:history="1">
            <w:r w:rsidR="009E2D2C" w:rsidRPr="0018672B">
              <w:rPr>
                <w:rStyle w:val="Hyperlink"/>
                <w:rFonts w:eastAsia="Times New Roman"/>
                <w:bCs/>
              </w:rPr>
              <w:t xml:space="preserve">1. </w:t>
            </w:r>
            <w:r w:rsidR="009E2D2C" w:rsidRPr="0018672B">
              <w:rPr>
                <w:rStyle w:val="Hyperlink"/>
                <w:rFonts w:eastAsia="Times New Roman"/>
                <w:lang w:eastAsia="ro-RO"/>
              </w:rPr>
              <w:t>Contract de asistenţă juridică. Acţiune în pretenţii. Calitatea de profesionist a avocatului. Competenţă teritorială</w:t>
            </w:r>
            <w:r w:rsidR="009E2D2C">
              <w:rPr>
                <w:webHidden/>
              </w:rPr>
              <w:tab/>
            </w:r>
            <w:r w:rsidR="009E2D2C">
              <w:rPr>
                <w:webHidden/>
              </w:rPr>
              <w:fldChar w:fldCharType="begin"/>
            </w:r>
            <w:r w:rsidR="009E2D2C">
              <w:rPr>
                <w:webHidden/>
              </w:rPr>
              <w:instrText xml:space="preserve"> PAGEREF _Toc84584824 \h </w:instrText>
            </w:r>
            <w:r w:rsidR="009E2D2C">
              <w:rPr>
                <w:webHidden/>
              </w:rPr>
            </w:r>
            <w:r w:rsidR="009E2D2C">
              <w:rPr>
                <w:webHidden/>
              </w:rPr>
              <w:fldChar w:fldCharType="separate"/>
            </w:r>
            <w:r w:rsidR="009E2D2C">
              <w:rPr>
                <w:webHidden/>
              </w:rPr>
              <w:t>158</w:t>
            </w:r>
            <w:r w:rsidR="009E2D2C">
              <w:rPr>
                <w:webHidden/>
              </w:rPr>
              <w:fldChar w:fldCharType="end"/>
            </w:r>
          </w:hyperlink>
        </w:p>
        <w:p w14:paraId="0E4CD820" w14:textId="02083A23" w:rsidR="009E2D2C" w:rsidRDefault="004A399B">
          <w:pPr>
            <w:pStyle w:val="TOC2"/>
            <w:rPr>
              <w:rFonts w:asciiTheme="minorHAnsi" w:eastAsiaTheme="minorEastAsia" w:hAnsiTheme="minorHAnsi" w:cstheme="minorBidi"/>
              <w:i w:val="0"/>
              <w:spacing w:val="0"/>
              <w:sz w:val="22"/>
              <w:szCs w:val="22"/>
              <w:lang w:eastAsia="ro-RO"/>
            </w:rPr>
          </w:pPr>
          <w:hyperlink w:anchor="_Toc84584825" w:history="1">
            <w:r w:rsidR="009E2D2C" w:rsidRPr="0018672B">
              <w:rPr>
                <w:rStyle w:val="Hyperlink"/>
                <w:b/>
                <w:bCs/>
              </w:rPr>
              <w:t>II. Actele de procedură</w:t>
            </w:r>
            <w:r w:rsidR="009E2D2C">
              <w:rPr>
                <w:webHidden/>
              </w:rPr>
              <w:tab/>
            </w:r>
            <w:r w:rsidR="009E2D2C">
              <w:rPr>
                <w:webHidden/>
              </w:rPr>
              <w:fldChar w:fldCharType="begin"/>
            </w:r>
            <w:r w:rsidR="009E2D2C">
              <w:rPr>
                <w:webHidden/>
              </w:rPr>
              <w:instrText xml:space="preserve"> PAGEREF _Toc84584825 \h </w:instrText>
            </w:r>
            <w:r w:rsidR="009E2D2C">
              <w:rPr>
                <w:webHidden/>
              </w:rPr>
            </w:r>
            <w:r w:rsidR="009E2D2C">
              <w:rPr>
                <w:webHidden/>
              </w:rPr>
              <w:fldChar w:fldCharType="separate"/>
            </w:r>
            <w:r w:rsidR="009E2D2C">
              <w:rPr>
                <w:webHidden/>
              </w:rPr>
              <w:t>161</w:t>
            </w:r>
            <w:r w:rsidR="009E2D2C">
              <w:rPr>
                <w:webHidden/>
              </w:rPr>
              <w:fldChar w:fldCharType="end"/>
            </w:r>
          </w:hyperlink>
        </w:p>
        <w:p w14:paraId="350BF66D" w14:textId="636CE30D" w:rsidR="009E2D2C" w:rsidRDefault="004A399B">
          <w:pPr>
            <w:pStyle w:val="TOC3"/>
            <w:rPr>
              <w:rFonts w:asciiTheme="minorHAnsi" w:eastAsiaTheme="minorEastAsia" w:hAnsiTheme="minorHAnsi" w:cstheme="minorBidi"/>
              <w:b w:val="0"/>
              <w:sz w:val="22"/>
              <w:szCs w:val="22"/>
              <w:lang w:eastAsia="ro-RO"/>
            </w:rPr>
          </w:pPr>
          <w:hyperlink w:anchor="_Toc84584826" w:history="1">
            <w:r w:rsidR="009E2D2C" w:rsidRPr="0018672B">
              <w:rPr>
                <w:rStyle w:val="Hyperlink"/>
              </w:rPr>
              <w:t>2. Decesul părţii intervenit după închiderea dezbaterilor dar înainte de pronunţarea hotărârii. Valabilitatea actului de procedură. Incidenţa dispoziţiilor art. 412 alin. (2)  din Codul de procedură civilă</w:t>
            </w:r>
            <w:r w:rsidR="009E2D2C">
              <w:rPr>
                <w:webHidden/>
              </w:rPr>
              <w:tab/>
            </w:r>
            <w:r w:rsidR="009E2D2C">
              <w:rPr>
                <w:webHidden/>
              </w:rPr>
              <w:fldChar w:fldCharType="begin"/>
            </w:r>
            <w:r w:rsidR="009E2D2C">
              <w:rPr>
                <w:webHidden/>
              </w:rPr>
              <w:instrText xml:space="preserve"> PAGEREF _Toc84584826 \h </w:instrText>
            </w:r>
            <w:r w:rsidR="009E2D2C">
              <w:rPr>
                <w:webHidden/>
              </w:rPr>
            </w:r>
            <w:r w:rsidR="009E2D2C">
              <w:rPr>
                <w:webHidden/>
              </w:rPr>
              <w:fldChar w:fldCharType="separate"/>
            </w:r>
            <w:r w:rsidR="009E2D2C">
              <w:rPr>
                <w:webHidden/>
              </w:rPr>
              <w:t>161</w:t>
            </w:r>
            <w:r w:rsidR="009E2D2C">
              <w:rPr>
                <w:webHidden/>
              </w:rPr>
              <w:fldChar w:fldCharType="end"/>
            </w:r>
          </w:hyperlink>
        </w:p>
        <w:p w14:paraId="26F99348" w14:textId="1A67E67C" w:rsidR="009E2D2C" w:rsidRDefault="004A399B">
          <w:pPr>
            <w:pStyle w:val="TOC3"/>
            <w:rPr>
              <w:rFonts w:asciiTheme="minorHAnsi" w:eastAsiaTheme="minorEastAsia" w:hAnsiTheme="minorHAnsi" w:cstheme="minorBidi"/>
              <w:b w:val="0"/>
              <w:sz w:val="22"/>
              <w:szCs w:val="22"/>
              <w:lang w:eastAsia="ro-RO"/>
            </w:rPr>
          </w:pPr>
          <w:hyperlink w:anchor="_Toc84584827" w:history="1">
            <w:r w:rsidR="009E2D2C" w:rsidRPr="0018672B">
              <w:rPr>
                <w:rStyle w:val="Hyperlink"/>
                <w:rFonts w:eastAsia="Times New Roman"/>
                <w:bCs/>
                <w:lang w:eastAsia="ro-RO"/>
              </w:rPr>
              <w:t>3.</w:t>
            </w:r>
            <w:r w:rsidR="009E2D2C" w:rsidRPr="0018672B">
              <w:rPr>
                <w:rStyle w:val="Hyperlink"/>
              </w:rPr>
              <w:t xml:space="preserve"> </w:t>
            </w:r>
            <w:r w:rsidR="009E2D2C" w:rsidRPr="0018672B">
              <w:rPr>
                <w:rStyle w:val="Hyperlink"/>
                <w:rFonts w:eastAsia="Times New Roman"/>
                <w:bCs/>
                <w:lang w:eastAsia="ro-RO"/>
              </w:rPr>
              <w:t>Soluţionarea cauzei în lipsa legalei citări a părţii. Vătămare procesuală. Încălcarea dreptului la un proces echitabil</w:t>
            </w:r>
            <w:r w:rsidR="009E2D2C">
              <w:rPr>
                <w:webHidden/>
              </w:rPr>
              <w:tab/>
            </w:r>
            <w:r w:rsidR="009E2D2C">
              <w:rPr>
                <w:webHidden/>
              </w:rPr>
              <w:fldChar w:fldCharType="begin"/>
            </w:r>
            <w:r w:rsidR="009E2D2C">
              <w:rPr>
                <w:webHidden/>
              </w:rPr>
              <w:instrText xml:space="preserve"> PAGEREF _Toc84584827 \h </w:instrText>
            </w:r>
            <w:r w:rsidR="009E2D2C">
              <w:rPr>
                <w:webHidden/>
              </w:rPr>
            </w:r>
            <w:r w:rsidR="009E2D2C">
              <w:rPr>
                <w:webHidden/>
              </w:rPr>
              <w:fldChar w:fldCharType="separate"/>
            </w:r>
            <w:r w:rsidR="009E2D2C">
              <w:rPr>
                <w:webHidden/>
              </w:rPr>
              <w:t>170</w:t>
            </w:r>
            <w:r w:rsidR="009E2D2C">
              <w:rPr>
                <w:webHidden/>
              </w:rPr>
              <w:fldChar w:fldCharType="end"/>
            </w:r>
          </w:hyperlink>
        </w:p>
        <w:p w14:paraId="4F940945" w14:textId="35C1C609" w:rsidR="009E2D2C" w:rsidRDefault="004A399B">
          <w:pPr>
            <w:pStyle w:val="TOC2"/>
            <w:rPr>
              <w:rFonts w:asciiTheme="minorHAnsi" w:eastAsiaTheme="minorEastAsia" w:hAnsiTheme="minorHAnsi" w:cstheme="minorBidi"/>
              <w:i w:val="0"/>
              <w:spacing w:val="0"/>
              <w:sz w:val="22"/>
              <w:szCs w:val="22"/>
              <w:lang w:eastAsia="ro-RO"/>
            </w:rPr>
          </w:pPr>
          <w:hyperlink w:anchor="_Toc84584828" w:history="1">
            <w:r w:rsidR="009E2D2C" w:rsidRPr="0018672B">
              <w:rPr>
                <w:rStyle w:val="Hyperlink"/>
                <w:b/>
                <w:bCs/>
              </w:rPr>
              <w:t>III. Procedura insolvenţei</w:t>
            </w:r>
            <w:r w:rsidR="009E2D2C">
              <w:rPr>
                <w:webHidden/>
              </w:rPr>
              <w:tab/>
            </w:r>
            <w:r w:rsidR="009E2D2C">
              <w:rPr>
                <w:webHidden/>
              </w:rPr>
              <w:fldChar w:fldCharType="begin"/>
            </w:r>
            <w:r w:rsidR="009E2D2C">
              <w:rPr>
                <w:webHidden/>
              </w:rPr>
              <w:instrText xml:space="preserve"> PAGEREF _Toc84584828 \h </w:instrText>
            </w:r>
            <w:r w:rsidR="009E2D2C">
              <w:rPr>
                <w:webHidden/>
              </w:rPr>
            </w:r>
            <w:r w:rsidR="009E2D2C">
              <w:rPr>
                <w:webHidden/>
              </w:rPr>
              <w:fldChar w:fldCharType="separate"/>
            </w:r>
            <w:r w:rsidR="009E2D2C">
              <w:rPr>
                <w:webHidden/>
              </w:rPr>
              <w:t>188</w:t>
            </w:r>
            <w:r w:rsidR="009E2D2C">
              <w:rPr>
                <w:webHidden/>
              </w:rPr>
              <w:fldChar w:fldCharType="end"/>
            </w:r>
          </w:hyperlink>
        </w:p>
        <w:p w14:paraId="7D348D48" w14:textId="1552F2D0" w:rsidR="009E2D2C" w:rsidRDefault="004A399B">
          <w:pPr>
            <w:pStyle w:val="TOC3"/>
            <w:rPr>
              <w:rFonts w:asciiTheme="minorHAnsi" w:eastAsiaTheme="minorEastAsia" w:hAnsiTheme="minorHAnsi" w:cstheme="minorBidi"/>
              <w:b w:val="0"/>
              <w:sz w:val="22"/>
              <w:szCs w:val="22"/>
              <w:lang w:eastAsia="ro-RO"/>
            </w:rPr>
          </w:pPr>
          <w:hyperlink w:anchor="_Toc84584829" w:history="1">
            <w:r w:rsidR="009E2D2C" w:rsidRPr="0018672B">
              <w:rPr>
                <w:rStyle w:val="Hyperlink"/>
              </w:rPr>
              <w:t>4. Concordat preventiv. Incidența prevederilor Regulamentului (UE) 2015/848 în privința legii aplicabile. Cerere de suspendare a judecății cauzei. Condiţii şi efecte în raport cu dispoziţiile Legii nr. 85/2014</w:t>
            </w:r>
            <w:r w:rsidR="009E2D2C">
              <w:rPr>
                <w:webHidden/>
              </w:rPr>
              <w:tab/>
            </w:r>
            <w:r w:rsidR="009E2D2C">
              <w:rPr>
                <w:webHidden/>
              </w:rPr>
              <w:fldChar w:fldCharType="begin"/>
            </w:r>
            <w:r w:rsidR="009E2D2C">
              <w:rPr>
                <w:webHidden/>
              </w:rPr>
              <w:instrText xml:space="preserve"> PAGEREF _Toc84584829 \h </w:instrText>
            </w:r>
            <w:r w:rsidR="009E2D2C">
              <w:rPr>
                <w:webHidden/>
              </w:rPr>
            </w:r>
            <w:r w:rsidR="009E2D2C">
              <w:rPr>
                <w:webHidden/>
              </w:rPr>
              <w:fldChar w:fldCharType="separate"/>
            </w:r>
            <w:r w:rsidR="009E2D2C">
              <w:rPr>
                <w:webHidden/>
              </w:rPr>
              <w:t>188</w:t>
            </w:r>
            <w:r w:rsidR="009E2D2C">
              <w:rPr>
                <w:webHidden/>
              </w:rPr>
              <w:fldChar w:fldCharType="end"/>
            </w:r>
          </w:hyperlink>
        </w:p>
        <w:p w14:paraId="641CEE9A" w14:textId="3A50E487" w:rsidR="009E2D2C" w:rsidRDefault="004A399B">
          <w:pPr>
            <w:pStyle w:val="TOC1"/>
            <w:rPr>
              <w:rFonts w:asciiTheme="minorHAnsi" w:eastAsiaTheme="minorEastAsia" w:hAnsiTheme="minorHAnsi" w:cstheme="minorBidi"/>
              <w:b w:val="0"/>
              <w:caps w:val="0"/>
              <w:sz w:val="22"/>
              <w:szCs w:val="22"/>
              <w:lang w:eastAsia="ro-RO"/>
            </w:rPr>
          </w:pPr>
          <w:hyperlink w:anchor="_Toc84584830" w:history="1">
            <w:r w:rsidR="009E2D2C" w:rsidRPr="0018672B">
              <w:rPr>
                <w:rStyle w:val="Hyperlink"/>
              </w:rPr>
              <w:t>DREPT PROCESUAL PENAL</w:t>
            </w:r>
            <w:r w:rsidR="009E2D2C">
              <w:rPr>
                <w:webHidden/>
              </w:rPr>
              <w:tab/>
            </w:r>
            <w:r w:rsidR="009E2D2C">
              <w:rPr>
                <w:webHidden/>
              </w:rPr>
              <w:fldChar w:fldCharType="begin"/>
            </w:r>
            <w:r w:rsidR="009E2D2C">
              <w:rPr>
                <w:webHidden/>
              </w:rPr>
              <w:instrText xml:space="preserve"> PAGEREF _Toc84584830 \h </w:instrText>
            </w:r>
            <w:r w:rsidR="009E2D2C">
              <w:rPr>
                <w:webHidden/>
              </w:rPr>
            </w:r>
            <w:r w:rsidR="009E2D2C">
              <w:rPr>
                <w:webHidden/>
              </w:rPr>
              <w:fldChar w:fldCharType="separate"/>
            </w:r>
            <w:r w:rsidR="009E2D2C">
              <w:rPr>
                <w:webHidden/>
              </w:rPr>
              <w:t>193</w:t>
            </w:r>
            <w:r w:rsidR="009E2D2C">
              <w:rPr>
                <w:webHidden/>
              </w:rPr>
              <w:fldChar w:fldCharType="end"/>
            </w:r>
          </w:hyperlink>
        </w:p>
        <w:p w14:paraId="44FA7611" w14:textId="4A4765F4" w:rsidR="009E2D2C" w:rsidRDefault="004A399B">
          <w:pPr>
            <w:pStyle w:val="TOC3"/>
            <w:rPr>
              <w:rFonts w:asciiTheme="minorHAnsi" w:eastAsiaTheme="minorEastAsia" w:hAnsiTheme="minorHAnsi" w:cstheme="minorBidi"/>
              <w:b w:val="0"/>
              <w:sz w:val="22"/>
              <w:szCs w:val="22"/>
              <w:lang w:eastAsia="ro-RO"/>
            </w:rPr>
          </w:pPr>
          <w:hyperlink w:anchor="_Toc84584831" w:history="1">
            <w:r w:rsidR="009E2D2C" w:rsidRPr="0018672B">
              <w:rPr>
                <w:rStyle w:val="Hyperlink"/>
              </w:rPr>
              <w:t>1. Cameră preliminară. Competenţa Direcţiei Naţionale Anticorupţie. Abuz în serviciu</w:t>
            </w:r>
            <w:r w:rsidR="009E2D2C">
              <w:rPr>
                <w:webHidden/>
              </w:rPr>
              <w:tab/>
            </w:r>
            <w:r w:rsidR="009E2D2C">
              <w:rPr>
                <w:webHidden/>
              </w:rPr>
              <w:fldChar w:fldCharType="begin"/>
            </w:r>
            <w:r w:rsidR="009E2D2C">
              <w:rPr>
                <w:webHidden/>
              </w:rPr>
              <w:instrText xml:space="preserve"> PAGEREF _Toc84584831 \h </w:instrText>
            </w:r>
            <w:r w:rsidR="009E2D2C">
              <w:rPr>
                <w:webHidden/>
              </w:rPr>
            </w:r>
            <w:r w:rsidR="009E2D2C">
              <w:rPr>
                <w:webHidden/>
              </w:rPr>
              <w:fldChar w:fldCharType="separate"/>
            </w:r>
            <w:r w:rsidR="009E2D2C">
              <w:rPr>
                <w:webHidden/>
              </w:rPr>
              <w:t>193</w:t>
            </w:r>
            <w:r w:rsidR="009E2D2C">
              <w:rPr>
                <w:webHidden/>
              </w:rPr>
              <w:fldChar w:fldCharType="end"/>
            </w:r>
          </w:hyperlink>
        </w:p>
        <w:p w14:paraId="57904822" w14:textId="3E0D2F65" w:rsidR="009E2D2C" w:rsidRDefault="004A399B">
          <w:pPr>
            <w:pStyle w:val="TOC3"/>
            <w:rPr>
              <w:rFonts w:asciiTheme="minorHAnsi" w:eastAsiaTheme="minorEastAsia" w:hAnsiTheme="minorHAnsi" w:cstheme="minorBidi"/>
              <w:b w:val="0"/>
              <w:sz w:val="22"/>
              <w:szCs w:val="22"/>
              <w:lang w:eastAsia="ro-RO"/>
            </w:rPr>
          </w:pPr>
          <w:hyperlink w:anchor="_Toc84584832" w:history="1">
            <w:r w:rsidR="009E2D2C" w:rsidRPr="0018672B">
              <w:rPr>
                <w:rStyle w:val="Hyperlink"/>
              </w:rPr>
              <w:t>2. Cameră preliminară. Chestiuni prealabile. Reunirea cauzelor. Înregistrări privind propriile convorbiri sau comunicări</w:t>
            </w:r>
            <w:r w:rsidR="009E2D2C">
              <w:rPr>
                <w:webHidden/>
              </w:rPr>
              <w:tab/>
            </w:r>
            <w:r w:rsidR="009E2D2C">
              <w:rPr>
                <w:webHidden/>
              </w:rPr>
              <w:fldChar w:fldCharType="begin"/>
            </w:r>
            <w:r w:rsidR="009E2D2C">
              <w:rPr>
                <w:webHidden/>
              </w:rPr>
              <w:instrText xml:space="preserve"> PAGEREF _Toc84584832 \h </w:instrText>
            </w:r>
            <w:r w:rsidR="009E2D2C">
              <w:rPr>
                <w:webHidden/>
              </w:rPr>
            </w:r>
            <w:r w:rsidR="009E2D2C">
              <w:rPr>
                <w:webHidden/>
              </w:rPr>
              <w:fldChar w:fldCharType="separate"/>
            </w:r>
            <w:r w:rsidR="009E2D2C">
              <w:rPr>
                <w:webHidden/>
              </w:rPr>
              <w:t>196</w:t>
            </w:r>
            <w:r w:rsidR="009E2D2C">
              <w:rPr>
                <w:webHidden/>
              </w:rPr>
              <w:fldChar w:fldCharType="end"/>
            </w:r>
          </w:hyperlink>
        </w:p>
        <w:p w14:paraId="552C3803" w14:textId="2230A0C9" w:rsidR="009E2D2C" w:rsidRDefault="004A399B">
          <w:pPr>
            <w:pStyle w:val="TOC3"/>
            <w:rPr>
              <w:rFonts w:asciiTheme="minorHAnsi" w:eastAsiaTheme="minorEastAsia" w:hAnsiTheme="minorHAnsi" w:cstheme="minorBidi"/>
              <w:b w:val="0"/>
              <w:sz w:val="22"/>
              <w:szCs w:val="22"/>
              <w:lang w:eastAsia="ro-RO"/>
            </w:rPr>
          </w:pPr>
          <w:hyperlink w:anchor="_Toc84584833" w:history="1">
            <w:r w:rsidR="009E2D2C" w:rsidRPr="0018672B">
              <w:rPr>
                <w:rStyle w:val="Hyperlink"/>
              </w:rPr>
              <w:t xml:space="preserve">3. </w:t>
            </w:r>
            <w:r w:rsidR="009E2D2C" w:rsidRPr="0018672B">
              <w:rPr>
                <w:rStyle w:val="Hyperlink"/>
                <w:bCs/>
              </w:rPr>
              <w:t>Cameră preliminară. Nulitatea ordonanţei de redeschidere a urmăririi penale. Nulitatea rechizitoriului. Efecte. Soluţii ce pot fi pronunţate în cadrul contestaţiei.</w:t>
            </w:r>
            <w:r w:rsidR="009E2D2C">
              <w:rPr>
                <w:webHidden/>
              </w:rPr>
              <w:tab/>
            </w:r>
            <w:r w:rsidR="009E2D2C">
              <w:rPr>
                <w:webHidden/>
              </w:rPr>
              <w:fldChar w:fldCharType="begin"/>
            </w:r>
            <w:r w:rsidR="009E2D2C">
              <w:rPr>
                <w:webHidden/>
              </w:rPr>
              <w:instrText xml:space="preserve"> PAGEREF _Toc84584833 \h </w:instrText>
            </w:r>
            <w:r w:rsidR="009E2D2C">
              <w:rPr>
                <w:webHidden/>
              </w:rPr>
            </w:r>
            <w:r w:rsidR="009E2D2C">
              <w:rPr>
                <w:webHidden/>
              </w:rPr>
              <w:fldChar w:fldCharType="separate"/>
            </w:r>
            <w:r w:rsidR="009E2D2C">
              <w:rPr>
                <w:webHidden/>
              </w:rPr>
              <w:t>201</w:t>
            </w:r>
            <w:r w:rsidR="009E2D2C">
              <w:rPr>
                <w:webHidden/>
              </w:rPr>
              <w:fldChar w:fldCharType="end"/>
            </w:r>
          </w:hyperlink>
        </w:p>
        <w:p w14:paraId="1C6DA801" w14:textId="3E2A6B1E" w:rsidR="009E2D2C" w:rsidRDefault="004A399B">
          <w:pPr>
            <w:pStyle w:val="TOC3"/>
            <w:rPr>
              <w:rFonts w:asciiTheme="minorHAnsi" w:eastAsiaTheme="minorEastAsia" w:hAnsiTheme="minorHAnsi" w:cstheme="minorBidi"/>
              <w:b w:val="0"/>
              <w:sz w:val="22"/>
              <w:szCs w:val="22"/>
              <w:lang w:eastAsia="ro-RO"/>
            </w:rPr>
          </w:pPr>
          <w:hyperlink w:anchor="_Toc84584834" w:history="1">
            <w:r w:rsidR="009E2D2C" w:rsidRPr="0018672B">
              <w:rPr>
                <w:rStyle w:val="Hyperlink"/>
                <w:rFonts w:eastAsia="Times New Roman"/>
              </w:rPr>
              <w:t>INDEX ALFABETIC:</w:t>
            </w:r>
            <w:r w:rsidR="009E2D2C">
              <w:rPr>
                <w:webHidden/>
              </w:rPr>
              <w:tab/>
            </w:r>
            <w:r w:rsidR="009E2D2C">
              <w:rPr>
                <w:webHidden/>
              </w:rPr>
              <w:fldChar w:fldCharType="begin"/>
            </w:r>
            <w:r w:rsidR="009E2D2C">
              <w:rPr>
                <w:webHidden/>
              </w:rPr>
              <w:instrText xml:space="preserve"> PAGEREF _Toc84584834 \h </w:instrText>
            </w:r>
            <w:r w:rsidR="009E2D2C">
              <w:rPr>
                <w:webHidden/>
              </w:rPr>
            </w:r>
            <w:r w:rsidR="009E2D2C">
              <w:rPr>
                <w:webHidden/>
              </w:rPr>
              <w:fldChar w:fldCharType="separate"/>
            </w:r>
            <w:r w:rsidR="009E2D2C">
              <w:rPr>
                <w:webHidden/>
              </w:rPr>
              <w:t>208</w:t>
            </w:r>
            <w:r w:rsidR="009E2D2C">
              <w:rPr>
                <w:webHidden/>
              </w:rPr>
              <w:fldChar w:fldCharType="end"/>
            </w:r>
          </w:hyperlink>
        </w:p>
        <w:p w14:paraId="63118265" w14:textId="5C1290AA" w:rsidR="008540AB" w:rsidRPr="00250C7F" w:rsidRDefault="008540AB" w:rsidP="00DD1F71">
          <w:pPr>
            <w:spacing w:line="276" w:lineRule="auto"/>
            <w:ind w:right="623"/>
            <w:jc w:val="both"/>
            <w:rPr>
              <w:rFonts w:ascii="Times New Roman" w:hAnsi="Times New Roman" w:cs="Times New Roman"/>
              <w:b/>
              <w:bCs/>
              <w:noProof/>
              <w:sz w:val="24"/>
              <w:szCs w:val="24"/>
            </w:rPr>
          </w:pPr>
          <w:r w:rsidRPr="00250C7F">
            <w:rPr>
              <w:rFonts w:ascii="Times New Roman" w:hAnsi="Times New Roman" w:cs="Times New Roman"/>
              <w:bCs/>
              <w:noProof/>
              <w:sz w:val="24"/>
              <w:szCs w:val="24"/>
            </w:rPr>
            <w:fldChar w:fldCharType="end"/>
          </w:r>
        </w:p>
      </w:sdtContent>
    </w:sdt>
    <w:p w14:paraId="31C454CD" w14:textId="77777777" w:rsidR="00137801" w:rsidRPr="00250C7F" w:rsidRDefault="00137801" w:rsidP="00891584">
      <w:pPr>
        <w:spacing w:line="276" w:lineRule="auto"/>
      </w:pPr>
      <w:r w:rsidRPr="00250C7F">
        <w:br w:type="page"/>
      </w:r>
    </w:p>
    <w:p w14:paraId="28911603" w14:textId="727676EB" w:rsidR="00B01906" w:rsidRPr="00250C7F" w:rsidRDefault="00137801" w:rsidP="00B01906">
      <w:pPr>
        <w:pStyle w:val="Heading1"/>
        <w:spacing w:line="276" w:lineRule="auto"/>
        <w:ind w:right="-2"/>
        <w:rPr>
          <w:sz w:val="24"/>
          <w:szCs w:val="24"/>
          <w:lang w:val="ro-RO"/>
        </w:rPr>
      </w:pPr>
      <w:bookmarkStart w:id="0" w:name="_Toc45088561"/>
      <w:bookmarkStart w:id="1" w:name="_Toc84584795"/>
      <w:r w:rsidRPr="00250C7F">
        <w:rPr>
          <w:sz w:val="24"/>
          <w:szCs w:val="24"/>
          <w:lang w:val="ro-RO"/>
        </w:rPr>
        <w:lastRenderedPageBreak/>
        <w:t>DREPT ADMINISTRATIV</w:t>
      </w:r>
      <w:bookmarkEnd w:id="0"/>
      <w:bookmarkEnd w:id="1"/>
    </w:p>
    <w:p w14:paraId="6A792190" w14:textId="2ADB150C" w:rsidR="00DD1F71" w:rsidRPr="00250C7F" w:rsidRDefault="00DD1F71" w:rsidP="00A71721">
      <w:pPr>
        <w:spacing w:after="0" w:line="276" w:lineRule="auto"/>
        <w:ind w:right="-2"/>
        <w:jc w:val="both"/>
        <w:rPr>
          <w:rFonts w:ascii="Times New Roman" w:eastAsia="Calibri" w:hAnsi="Times New Roman" w:cs="Times New Roman"/>
          <w:b/>
          <w:i/>
          <w:sz w:val="24"/>
          <w:szCs w:val="24"/>
        </w:rPr>
      </w:pPr>
    </w:p>
    <w:p w14:paraId="7E496CCD" w14:textId="3ACB1B38" w:rsidR="00BC7E60" w:rsidRPr="00250C7F" w:rsidRDefault="00DE0C2D" w:rsidP="00A71721">
      <w:pPr>
        <w:pStyle w:val="Heading3"/>
        <w:spacing w:before="0" w:line="276" w:lineRule="auto"/>
        <w:ind w:right="-2"/>
        <w:jc w:val="both"/>
        <w:rPr>
          <w:rFonts w:ascii="Times New Roman" w:hAnsi="Times New Roman" w:cs="Times New Roman"/>
          <w:color w:val="auto"/>
          <w:shd w:val="clear" w:color="auto" w:fill="FFFFFF"/>
        </w:rPr>
      </w:pPr>
      <w:bookmarkStart w:id="2" w:name="_Toc84584796"/>
      <w:r w:rsidRPr="00250C7F">
        <w:rPr>
          <w:rFonts w:ascii="Times New Roman" w:hAnsi="Times New Roman" w:cs="Times New Roman"/>
          <w:b/>
          <w:color w:val="auto"/>
          <w:shd w:val="clear" w:color="auto" w:fill="FFFFFF"/>
        </w:rPr>
        <w:t>1</w:t>
      </w:r>
      <w:r w:rsidR="00BC7E60" w:rsidRPr="00250C7F">
        <w:rPr>
          <w:rFonts w:ascii="Times New Roman" w:hAnsi="Times New Roman" w:cs="Times New Roman"/>
          <w:b/>
          <w:color w:val="auto"/>
          <w:shd w:val="clear" w:color="auto" w:fill="FFFFFF"/>
        </w:rPr>
        <w:t xml:space="preserve">. </w:t>
      </w:r>
      <w:r w:rsidR="00023D86" w:rsidRPr="00250C7F">
        <w:rPr>
          <w:rFonts w:ascii="Times New Roman" w:hAnsi="Times New Roman" w:cs="Times New Roman"/>
          <w:b/>
          <w:color w:val="auto"/>
          <w:shd w:val="clear" w:color="auto" w:fill="FFFFFF"/>
        </w:rPr>
        <w:t>Ordin emis de președintele ANRE privind stabilirea cotei obligatorii de achiziţie de certificate verzi. Act administrativ cu caracter normativ. Elemente de diferențiere între actul administrativ cu caracter normativ cu grad restrâns de adresabilitate și actul administrativ individual adresat unei pluralități de subiecte de drept</w:t>
      </w:r>
      <w:r w:rsidR="00BC7E60" w:rsidRPr="00250C7F">
        <w:rPr>
          <w:rFonts w:ascii="Times New Roman" w:hAnsi="Times New Roman" w:cs="Times New Roman"/>
          <w:b/>
          <w:color w:val="auto"/>
          <w:shd w:val="clear" w:color="auto" w:fill="FFFFFF"/>
        </w:rPr>
        <w:t>.</w:t>
      </w:r>
      <w:bookmarkEnd w:id="2"/>
      <w:r w:rsidR="00BC7E60" w:rsidRPr="00250C7F">
        <w:rPr>
          <w:rFonts w:ascii="Times New Roman" w:hAnsi="Times New Roman" w:cs="Times New Roman"/>
          <w:color w:val="auto"/>
          <w:shd w:val="clear" w:color="auto" w:fill="FFFFFF"/>
        </w:rPr>
        <w:t xml:space="preserve"> </w:t>
      </w:r>
    </w:p>
    <w:p w14:paraId="1CE0173A" w14:textId="77777777" w:rsidR="00A9433C" w:rsidRPr="00250C7F" w:rsidRDefault="00A9433C" w:rsidP="00A71721">
      <w:pPr>
        <w:spacing w:after="0" w:line="240" w:lineRule="auto"/>
        <w:ind w:right="-2"/>
      </w:pPr>
    </w:p>
    <w:p w14:paraId="01FB7655" w14:textId="77777777" w:rsidR="00023D86" w:rsidRPr="00250C7F" w:rsidRDefault="00023D86" w:rsidP="00A71721">
      <w:pPr>
        <w:spacing w:after="0" w:line="240" w:lineRule="auto"/>
        <w:ind w:right="-2"/>
        <w:jc w:val="right"/>
        <w:rPr>
          <w:rFonts w:ascii="Times New Roman" w:eastAsia="Calibri" w:hAnsi="Times New Roman" w:cs="Times New Roman"/>
          <w:bCs/>
          <w:sz w:val="24"/>
          <w:szCs w:val="24"/>
        </w:rPr>
      </w:pPr>
      <w:r w:rsidRPr="00250C7F">
        <w:rPr>
          <w:rFonts w:ascii="Times New Roman" w:eastAsia="Calibri" w:hAnsi="Times New Roman" w:cs="Times New Roman"/>
          <w:bCs/>
          <w:sz w:val="24"/>
          <w:szCs w:val="24"/>
        </w:rPr>
        <w:t>Legea nr. 554/2004, art. 2 alin. (1) lit. c)</w:t>
      </w:r>
    </w:p>
    <w:p w14:paraId="26F7479D" w14:textId="2EF61FD2" w:rsidR="00023D86" w:rsidRPr="00250C7F" w:rsidRDefault="00023D86" w:rsidP="00A71721">
      <w:pPr>
        <w:spacing w:after="0" w:line="240" w:lineRule="auto"/>
        <w:ind w:right="-2"/>
        <w:jc w:val="right"/>
        <w:rPr>
          <w:rFonts w:ascii="Times New Roman" w:eastAsia="Calibri" w:hAnsi="Times New Roman" w:cs="Times New Roman"/>
          <w:bCs/>
          <w:sz w:val="24"/>
          <w:szCs w:val="24"/>
        </w:rPr>
      </w:pPr>
      <w:r w:rsidRPr="00250C7F">
        <w:rPr>
          <w:rFonts w:ascii="Times New Roman" w:eastAsia="Calibri" w:hAnsi="Times New Roman" w:cs="Times New Roman"/>
          <w:bCs/>
          <w:sz w:val="24"/>
          <w:szCs w:val="24"/>
        </w:rPr>
        <w:t>Legea nr. 220/2008, art. 4 alin. (4)</w:t>
      </w:r>
    </w:p>
    <w:p w14:paraId="332F798E" w14:textId="77777777" w:rsidR="00023D86" w:rsidRPr="00250C7F" w:rsidRDefault="00023D86" w:rsidP="00A71721">
      <w:pPr>
        <w:spacing w:after="0" w:line="276" w:lineRule="auto"/>
        <w:ind w:right="-2"/>
        <w:jc w:val="right"/>
        <w:rPr>
          <w:rFonts w:ascii="Times New Roman" w:eastAsia="Calibri" w:hAnsi="Times New Roman" w:cs="Times New Roman"/>
          <w:bCs/>
          <w:sz w:val="24"/>
          <w:szCs w:val="24"/>
        </w:rPr>
      </w:pPr>
    </w:p>
    <w:p w14:paraId="6E1F4099" w14:textId="467F3730" w:rsidR="00023D86" w:rsidRPr="00250C7F" w:rsidRDefault="00023D86" w:rsidP="00A71721">
      <w:pPr>
        <w:spacing w:after="0" w:line="276" w:lineRule="auto"/>
        <w:ind w:right="-2" w:firstLine="720"/>
        <w:jc w:val="both"/>
        <w:rPr>
          <w:rFonts w:ascii="Times New Roman" w:eastAsia="Calibri" w:hAnsi="Times New Roman" w:cs="Times New Roman"/>
          <w:i/>
          <w:sz w:val="24"/>
          <w:szCs w:val="24"/>
        </w:rPr>
      </w:pPr>
      <w:r w:rsidRPr="00250C7F">
        <w:rPr>
          <w:rFonts w:ascii="Times New Roman" w:eastAsia="Calibri" w:hAnsi="Times New Roman" w:cs="Times New Roman"/>
          <w:i/>
          <w:sz w:val="24"/>
          <w:szCs w:val="24"/>
        </w:rPr>
        <w:t>Actele administrative cu caracter individual au ca obiect soluționarea unei probleme punctuale și se adresează unui subiect determinat sau unor subiecte determinate sau determinabile în procesul de aplicare a actului administrativ individual respectiv. În ceea ce privește actele administrative cu caracter normativ acestea au în vedere reglementarea unei situații sau a unor situații generale, iar efectele acestora se produc erga omnes, fiind adresate unui număr nedeterminat de subiecte.</w:t>
      </w:r>
    </w:p>
    <w:p w14:paraId="3FFE1535" w14:textId="77777777" w:rsidR="00023D86" w:rsidRPr="00250C7F" w:rsidRDefault="00023D86" w:rsidP="00A71721">
      <w:pPr>
        <w:spacing w:after="0" w:line="276" w:lineRule="auto"/>
        <w:ind w:right="-2" w:firstLine="720"/>
        <w:jc w:val="both"/>
        <w:rPr>
          <w:rFonts w:ascii="Times New Roman" w:eastAsia="Calibri" w:hAnsi="Times New Roman" w:cs="Times New Roman"/>
          <w:i/>
          <w:sz w:val="24"/>
          <w:szCs w:val="24"/>
        </w:rPr>
      </w:pPr>
      <w:r w:rsidRPr="00250C7F">
        <w:rPr>
          <w:rFonts w:ascii="Times New Roman" w:eastAsia="Calibri" w:hAnsi="Times New Roman" w:cs="Times New Roman"/>
          <w:i/>
          <w:sz w:val="24"/>
          <w:szCs w:val="24"/>
        </w:rPr>
        <w:t>Nu se poate reţine că simpla stabilire a unei anumite condiţii privind destinatarii (cum ar fi aceea de a fi operatori economici cu obligaţie de achiziţie de certificate verzi) duce la stabilirea caracterului individual al actului, orice act normativ, având, în general, un anumit „public” căruia i se adresează, specializat în raport de specificul actului respectiv. Gradul de generalitate al actelor administrative normative diferă, în sensul că anumite norme privesc toți subiecții de drept, iar alte norme au un obiect de reglementare mai restrâns, privind categorii determinate de persoane. Însă, oricât de restrâns ar fi obiectul de reglementare a actelor administrative normative, acestea îşi păstrează caracterul normativ atâta timp cât modul de redactare al normei cuprinde o formulare cu caracter generic şi impersonal, adresată unor destinatari neidentificaţi expres prin norma respectivă.</w:t>
      </w:r>
    </w:p>
    <w:p w14:paraId="693167E6" w14:textId="3C1F4534" w:rsidR="00023D86" w:rsidRPr="00250C7F" w:rsidRDefault="00023D86" w:rsidP="00A71721">
      <w:pPr>
        <w:spacing w:after="0" w:line="276" w:lineRule="auto"/>
        <w:ind w:right="-2" w:firstLine="720"/>
        <w:jc w:val="both"/>
        <w:rPr>
          <w:rFonts w:ascii="Times New Roman" w:eastAsia="Calibri" w:hAnsi="Times New Roman" w:cs="Times New Roman"/>
          <w:i/>
          <w:sz w:val="24"/>
          <w:szCs w:val="24"/>
        </w:rPr>
      </w:pPr>
      <w:r w:rsidRPr="00250C7F">
        <w:rPr>
          <w:rFonts w:ascii="Times New Roman" w:eastAsia="Calibri" w:hAnsi="Times New Roman" w:cs="Times New Roman"/>
          <w:i/>
          <w:sz w:val="24"/>
          <w:szCs w:val="24"/>
        </w:rPr>
        <w:t>Astfel, un ordin emis de președintele ANRE prin care a fost stabilită cota obligatorie de achiziţie de certificate verzi, aferentă unui anumit an, are caracterul unui act administrativ cu caracter normativ, fiind emis de o autoritate publică, în regim de putere publică, în vederea executării în concret a legii, respectiv a art. 4 alin. (4) din Legea nr. 220/2008, acest act neindividualizându-și expres destinatarii, întrucât calitatea de operator economic cu obligaţie de achiziţie de certificate verzi rezultă din prevederile Legii nr. 220/2008 şi este o vocaţie generală pe care o poate avea orice agent economic ce alege acest obiect de activitate, atâta timp cât deţine autorizările prevăzute de lege.</w:t>
      </w:r>
    </w:p>
    <w:p w14:paraId="16AEB00A" w14:textId="77777777" w:rsidR="00023D86" w:rsidRPr="00250C7F" w:rsidRDefault="00023D86" w:rsidP="00A71721">
      <w:pPr>
        <w:spacing w:after="0" w:line="276" w:lineRule="auto"/>
        <w:ind w:right="-2" w:firstLine="720"/>
        <w:jc w:val="both"/>
        <w:rPr>
          <w:rFonts w:ascii="Times New Roman" w:eastAsia="Calibri" w:hAnsi="Times New Roman" w:cs="Times New Roman"/>
          <w:i/>
          <w:sz w:val="24"/>
          <w:szCs w:val="24"/>
        </w:rPr>
      </w:pPr>
    </w:p>
    <w:p w14:paraId="07F6186D" w14:textId="2C4DAA3D" w:rsidR="00023D86" w:rsidRPr="00250C7F" w:rsidRDefault="00023D86" w:rsidP="00A71721">
      <w:pPr>
        <w:spacing w:after="0" w:line="276" w:lineRule="auto"/>
        <w:ind w:right="-2"/>
        <w:rPr>
          <w:rFonts w:ascii="Times New Roman" w:eastAsia="Calibri" w:hAnsi="Times New Roman" w:cs="Times New Roman"/>
          <w:sz w:val="24"/>
          <w:szCs w:val="24"/>
        </w:rPr>
      </w:pPr>
      <w:bookmarkStart w:id="3" w:name="_Hlk83055733"/>
      <w:r w:rsidRPr="00250C7F">
        <w:rPr>
          <w:rFonts w:ascii="Times New Roman" w:hAnsi="Times New Roman" w:cs="Times New Roman"/>
          <w:sz w:val="24"/>
          <w:szCs w:val="24"/>
        </w:rPr>
        <w:t>I.C.C.J., Secţia de contencios administrativ şi fiscal</w:t>
      </w:r>
      <w:r w:rsidRPr="00250C7F">
        <w:rPr>
          <w:rFonts w:ascii="Times New Roman" w:eastAsia="Times New Roman" w:hAnsi="Times New Roman" w:cs="Times New Roman"/>
          <w:sz w:val="24"/>
          <w:szCs w:val="24"/>
        </w:rPr>
        <w:t xml:space="preserve">, decizia </w:t>
      </w:r>
      <w:r w:rsidRPr="00250C7F">
        <w:rPr>
          <w:rFonts w:ascii="Times New Roman" w:eastAsia="Calibri" w:hAnsi="Times New Roman" w:cs="Times New Roman"/>
          <w:sz w:val="24"/>
          <w:szCs w:val="24"/>
        </w:rPr>
        <w:t xml:space="preserve">nr. </w:t>
      </w:r>
      <w:bookmarkEnd w:id="3"/>
      <w:r w:rsidRPr="00250C7F">
        <w:rPr>
          <w:rFonts w:ascii="Times New Roman" w:eastAsia="Calibri" w:hAnsi="Times New Roman" w:cs="Times New Roman"/>
          <w:sz w:val="24"/>
          <w:szCs w:val="24"/>
        </w:rPr>
        <w:t>676 din 4 februarie 2021</w:t>
      </w:r>
    </w:p>
    <w:p w14:paraId="3A88ABC5" w14:textId="77777777" w:rsidR="00023D86" w:rsidRPr="00250C7F" w:rsidRDefault="00023D86" w:rsidP="00A71721">
      <w:pPr>
        <w:spacing w:after="0" w:line="276" w:lineRule="auto"/>
        <w:ind w:right="-2"/>
        <w:rPr>
          <w:rFonts w:ascii="Times New Roman" w:eastAsia="Calibri" w:hAnsi="Times New Roman" w:cs="Times New Roman"/>
          <w:sz w:val="24"/>
          <w:szCs w:val="24"/>
        </w:rPr>
      </w:pPr>
    </w:p>
    <w:p w14:paraId="0713CFEA" w14:textId="6310D97F"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1. Circumstanţele cauzei</w:t>
      </w:r>
    </w:p>
    <w:p w14:paraId="1E1BEDF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cererea înregistrată pe rolul Curții de Apel București-Secția a VIII-a de contencios administrativ și fiscal la data de 20.04.2016 reclamanta A S.A. a solicitat în contradictoriu cu pârâta Autoritatea Naţională de Reglementare în Domeniul Energiei pronunțarea unei hotărâri prin care să se dispună anularea următoarelor acte administrative emise de pârâtă:</w:t>
      </w:r>
    </w:p>
    <w:p w14:paraId="30851225"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 Ordinul Autorităţii Naţionale de Reglementare în Domeniul Energiei nr. 5 din 26 februarie 2016, publicat în Monitorul Oficial, Partea I, nr. 152 din 29 februarie </w:t>
      </w:r>
    </w:p>
    <w:p w14:paraId="7C15E11E"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 Lista operatorilor economici cu obligaţie de achiziţie de certificate verzi („CV”) şi numărul de CV necesare pentru îndeplinirea cotei obligatorii de achiziţie de CV pentru anul de analiză 2015, publicată pe site-ul www.anre.ro în data de 2 martie 2016.</w:t>
      </w:r>
    </w:p>
    <w:p w14:paraId="6E6A2745" w14:textId="2832749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încheierea din 17 februarie 2017 Curtea de Apel Bucureşti - Secţia a VIII-a  contencios administrativ şi fiscal a dispus următoarele:</w:t>
      </w:r>
    </w:p>
    <w:p w14:paraId="79716724"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„Respinge excepţia lipsei calităţii procesuale pasive a pârâtei OPCOM, invocată de această pârâtă, ca nefondată.</w:t>
      </w:r>
    </w:p>
    <w:p w14:paraId="0E8ED1A2"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Admite excepţia tardivităţii cu privire la cererea de anulare a Listei operatorilor economici cu obligaţie de achiziţie de certificate verzi şi numărul de certificate verzi necesare pentru îndeplinirea cotei obligatorii de achiziţie de certificate verzi pentru anul de analiză 2015, publicată de pârâta ANRDE pe site-ul www.anre.ro în data de 2 martie 2016.</w:t>
      </w:r>
    </w:p>
    <w:p w14:paraId="180CE994"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Respinge excepţia tardivităţii cu privire la cererea de anulare a Ordinului nr. 5/ 2016 emis de pârâta ANRDE, ca nefondată.</w:t>
      </w:r>
    </w:p>
    <w:p w14:paraId="42698F4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temeiul art. 400 din Noul Cod de Procedură Civilă, repune cauza pe rol în vederea suplimentării probatoriului şi discutării din oficiu a oportunităţii solicitării Comisiei Europene a unui aviz, în conformitate cu punctul 18 din Comunicarea  Comisiei  privind  aplicarea  normelor  referitoare  la  ajutoarele  de  stat  de  către  instanțele naționale (2009/C  85/01), cu privire la următoarea chestiune: ”dacă dispoziţiile alin. 1 al art. 3 din HG nr. 495 /2014 contravin sau, dimpotrivă,  sunt în deplină conformitate cu schema de ajutor de stat aprobată de Comisie prin Decizia C (2014) 7287 din 15 octombrie 2014, respectiv dacă, in analiza compatibilităţii schemei de ajutor de stat cu prevederile art. 107 din TFUE, Comisia a avut în vedere data de aplicare a schemei ca fiind în mod necesar 1 ianuarie 2015 sau data acordului de exceptare, indiferent care ar fi aceasta”.</w:t>
      </w:r>
    </w:p>
    <w:p w14:paraId="66AB9A8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2. Soluţia instanţei de fond</w:t>
      </w:r>
    </w:p>
    <w:p w14:paraId="6054C652"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sentinţa nr. 4265 din 10 noiembrie 2017 Curtea de Apel Bucureşti - Secţia a VIII-a  contencios administrativ şi fiscal a admis în parte acţiunea formulată de reclamanta A S.A. în contradictoriu cu pârâţii Autoritatea Naţională de Reglementare în Domeniul Energiei şi Operatorul Pieţei de Energie Electrică şi Gaze Naturale - OPCOM - S.A., a anulat Ordinul ANRE nr.5/26.02.2016 şi a respins cererea privind anularea Listei operatorilor economici cu obligarea de achiziţie certificate verzi şi numărul de certificate verzi necesare pentru îndeplinirea cotei obligatorii de achiziţie de certificate verzi pentru anul 2015 publicată pentru site-ul ANRE la 02.03.2016, ca tardiv formulată.</w:t>
      </w:r>
    </w:p>
    <w:p w14:paraId="2F49335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3. Recursurile exercitate în cauză</w:t>
      </w:r>
    </w:p>
    <w:p w14:paraId="2643A4F7" w14:textId="32AF9E65"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3.1. Recurenta Autoritatea Naţională de Reglementare în Domeniul Energiei a formulat recurs împotriva  încheierii din data de 17.02.2017 pronunţată de Curtea de Apel Bucureşti în ceea ce priveşte respingerea excepţiei tardivităţii Ordinului nr. 5/2016 privind stabilirea cotei obligatorii de achiziţie de certificate verzi, aferenta anului 2015 şi Sentinţei civile nr. 4265/10.11.2017 pronunţată de Curtea de Apel Bucureşti în ceea ce priveşte soluţia dată capătului de cerere ce vizează anularea Ordinului nr. 5/2016 privind stabilirea cotei obligatorii de achiziţie de certificate verzi, aferenta anului 2015.</w:t>
      </w:r>
    </w:p>
    <w:p w14:paraId="0C1C6416"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Solicită admiterea recursului, casarea parţială a încheierii din data de 17.02.2017, casarea hotărârii recurate în ceea ce priveşte soluţia dată capătului de cerere ce vizează anularea Ordinului nr. 5/2016 şi rejudecarea cauzei în limitele arătate.</w:t>
      </w:r>
    </w:p>
    <w:p w14:paraId="383856FE"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În esenţă, arată că încheierea din data de 17.02.2017 pronunţată de Curtea de Apel Bucureşti este nelegală deoarece, cu aplicarea greşită a dispoziţiilor art. 11 alin. (4) din Legea nr. 554/2004 şi stabilirea greşită a caracterului de act normativ Ordinului nr. 5/2016 privind stabilirea cotei obligatorii de achiziţie de certificate verzi, aferenta anului 2015, judecătorul fondului a respins ca nefondată excepţia tardivităţii Ordinului nr. 5/2016.</w:t>
      </w:r>
    </w:p>
    <w:p w14:paraId="646E0E2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instanţa de fond reţine, faţă de caracterul normativ al Ordinului şi faţă de dispoziţiile art. 11 alin. 4 din Legea nr. 554/2004 raportat la considerentele deciziei Curţii Constzituţionale nr. 136/2015, excepţia tardivităţii este nefondată.</w:t>
      </w:r>
    </w:p>
    <w:p w14:paraId="6D231EF4"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Cu aplicarea greşită a normelor de drept material respectiv a art. 5 alin. (7) din O.U.G. nr. 33/2007 privind organizarea şi funcţionarea Autorităţii Naţionale de Reglementare în Domeniul Energiei, aprobată cu modificări şi completări prin Legea nr.160/2012, în forma aflată în prezent urmare admiterii de către Curtea Constituţională prin Decizia nr. 136/2015 a excepţiei de neconstitutionalitate a respectivelor prevederi, instanţa de fond califică Ordinul nr. 5/2016 privind stabilirea cotei obligatorii de achiziţie de certificate verzi, aferentă anului 2015 ca fiind act administrativ cu caracter normativ.</w:t>
      </w:r>
    </w:p>
    <w:p w14:paraId="7767567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Ordinul nr. 5/2016 nu poate fi calificat drept act administrativ normativ acesta neconţinând o reglementare generală, ci o cotă valorică precis determinată de achitare a unor sume cu titlu de CV în sarcina unor anumiţi operatori economici a căror identitate este cunoscută şi stabilită în mod exact în urma aplicării dispoziţiilor legale şi regulamentare pe baza cărora au fost emise acest ordin şi Lista.</w:t>
      </w:r>
    </w:p>
    <w:p w14:paraId="526D4615" w14:textId="32E07A53" w:rsidR="00023D86" w:rsidRPr="00250C7F" w:rsidRDefault="00B940E9"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w:t>
      </w:r>
      <w:r w:rsidR="00023D86" w:rsidRPr="00250C7F">
        <w:rPr>
          <w:rFonts w:ascii="Times New Roman" w:eastAsia="Calibri" w:hAnsi="Times New Roman" w:cs="Times New Roman"/>
          <w:sz w:val="24"/>
          <w:szCs w:val="24"/>
        </w:rPr>
        <w:t>n speţa pendinte actul normativ este Metodologia de stabilire a cotelor anuale obligatorii de energie electrica produsa din surse regenerabile de energie care beneficiază de sistemul de promovare prin certificate verzi si a celor de achiziţie de certificate verzi aprobată prin Ordinul ANRE nr. 101/2015. cu modificările şi completările ulterioare, în baza căreia a fost calculată cota stabilită prin Ordinul nr. 5/2016.</w:t>
      </w:r>
    </w:p>
    <w:p w14:paraId="452683A6"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Raportat la faptul că Ordinul nr. 5/2016:</w:t>
      </w:r>
    </w:p>
    <w:p w14:paraId="71953FF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nu produce efecte „erga omnes" ci produce efecte exclusiv faţă de persoanele nominalizate expres Ia art. 2 din acest act şi în Lista emisă conform art. 27 alin. f3) din Metodologie;</w:t>
      </w:r>
    </w:p>
    <w:p w14:paraId="05C487B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nu conţine o regulă ci cota obligatorie de achiziţie de certificate verzi de către operatorii economici care au obligaţia achiziţiei de certificate verzi, pentru anul 2015, de 0,278 certificate verzi/MWh;</w:t>
      </w:r>
    </w:p>
    <w:p w14:paraId="5F97DB0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nu are aplicabilitate repetată ci se aplică o singură dată pe an la stabilirea numărului de certificate verzi pe care fiecare operator economic cu obligaţia de achiziţie trebuie să le cumpere;</w:t>
      </w:r>
    </w:p>
    <w:p w14:paraId="5FBADAC2"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urmăreşte stabilizarea unei situaţii juridice precise în favoarea unui număr restrâns şi bine definit de subiecte de drept, este evident că acesta are natura juridică a unui act administrativ cu caracter individual.</w:t>
      </w:r>
    </w:p>
    <w:p w14:paraId="1E67334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Cu aplicarea greşită a legii şi a jurisprudenţei instanţei supreme, s-a reţinut că nu poate fi primit „argumentul pârâtei, în sensul că un criteriu în baza căruia se stabileşte caracterul de act normativ al unui act normativ este aplicabilitatea repetată, iar ordinul se aplică o singură dată... sunt numeroase acte normative care au aplicabilitate limitată în timp, fără a deveni, prin aceasta, individuale".</w:t>
      </w:r>
    </w:p>
    <w:p w14:paraId="7827B6E2"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Un alt criteriu în baza căruia se stabileşte caracterul de act normativ sau individual al unui act administrativ este aplicabilitatea repetată iar Ordinul nr. 5/2016 se aplică o singură dată pe an </w:t>
      </w:r>
      <w:r w:rsidRPr="00250C7F">
        <w:rPr>
          <w:rFonts w:ascii="Times New Roman" w:eastAsia="Calibri" w:hAnsi="Times New Roman" w:cs="Times New Roman"/>
          <w:sz w:val="24"/>
          <w:szCs w:val="24"/>
        </w:rPr>
        <w:lastRenderedPageBreak/>
        <w:t>la determinarea gradului de îndeplinire al cotei anuale de achiziţie certificate verzi conform dispoziţiilor art. 8 alin. (2) din Legea nr. 220/2008 potrivit cărora „Furnizorii de energie electrica si producătorii prevăzuţi la alin. (1) sunt obligaţi sa achiziţioneze anual un număr de certificate verzi echivalent cu produsul dintre valoarea cotei anuale obligatorii de achiziţie de certificate verzi stabilite pentru anul respectiv, potrivit prevederilor art. 4 alin. (9), si cantitatea de energie electrica prevăzuta la alin. (1), exprimata in MWh, furnizata anual consumatorilor finali.</w:t>
      </w:r>
    </w:p>
    <w:p w14:paraId="269FF8D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Un alt argument utilizat de instanţa de fond în circumstanţierea caracterului de act normativ al Ordinului nr. 5/2016 este acela că actul a fost publicat în Monitorul Oficial „conform art. 5 alin. 5 din Ordonanţa de Urgenţă nr. 33/2007".</w:t>
      </w:r>
    </w:p>
    <w:p w14:paraId="621AD40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Contrar celor reţinute de instanţa de fond, Ordinul nr. 5/2016 este un act administrativ cu caracter individual iar temeiul legal pentru ca acesta să fie publicat în Monitorul Oficial este chiar art. 5 alin. (5) din OUG nr. 33/2007, ca urmare există un temei pentru a fi publicat, altul decât art. 11 din Legea nr. 24/2000.</w:t>
      </w:r>
    </w:p>
    <w:p w14:paraId="3A451504"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Ordinul nu a fost publicat în MOF în temeiul Legii nr. 24/2000. În preambulul Ordinului nr. 5/2016 este menţionat ca temei legal art. 5 alin. (5) din OUG nr. 33/2007 conform căruia „În exercitarea atribuţiilor de reglementare, reglementările de interes general se aproba prin ordine ale ANRE si se publica in Monitorul Oficial al României,, iar la acest temei legal face referire şi instanţa de fond pentru ca ulterior să concluzioneze că dacă Ordinul nr. 5/2016 ar fi fost un act administrativ cu caracter individual, nu ar exista nici un temei legal pentru ca acesta să fi fost publicat în Monitorul Oficial.</w:t>
      </w:r>
    </w:p>
    <w:p w14:paraId="074419B1"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Ordinele privind stabilirea cotei obligatorii de achiziţie de certificate verzi, aferenta unui anumit an sunt de interes general şi de aceea modalitatea de aducere la cunoştinţa celor interesaţi este publicarea în Monitorul Oficial. Însă publicarea în Monitorul Oficial nu conferă caracter de act normativ respectivului act.</w:t>
      </w:r>
    </w:p>
    <w:p w14:paraId="5A9A499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Raportat la natura juridică a Ordinului nr. 5/2016 respectiv de act administrativ cu caracter individual, în mod greşit instanţa de fond a respins excepţia tardivităţii petitului privind anularea Ordinului.</w:t>
      </w:r>
    </w:p>
    <w:p w14:paraId="6C06A2E3"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Ordinul nr. 5/2016 a fost publicat în Monitorul Oficial al României Partea I nr. 152 din 29 februarie 2016, intimata a promovat acţiune în anularea ordinului în data de 20.04.2016 (conform portalului Curţii de Apel Bucureşti), pe cale de consecinţă începând cu data de 29.02.2016 intimata avea posibilitatea de a introduce acţiune în instanţa în 30 de zile şi totuşi a introdus-o la aproximativ două luni de la împlinirea termenului de decădere de 30 de zile.</w:t>
      </w:r>
    </w:p>
    <w:p w14:paraId="55A3C7AA"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urmare, este evident că acţiunea formulată de intimată în contencios administrativ, la fondul cauzei a fost promovată cu eludarea dispoziţiilor imperative ale art. 5 alin. (7) din O.U.G. nr. 33/2007 corelate cu Decizia CC nr. 136/2015, care statuează expres şi derogator de la Legea contenciosului administrativ nr, 554/2004, că actele administrative cu caracter individual emise de preşedintele ANRE pot fi atacate în contencios administrativ în termen de 30 de zile de Ia care au fost notificate părţilor interesate respectiv de la data publicării în Monitorul Oficial.</w:t>
      </w:r>
    </w:p>
    <w:p w14:paraId="072F9F80" w14:textId="6F4B1E8A"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concluzie, încheierea din data de 17.02.2017 pronunţată de Curtea de Apel Bucureşti este nelegală deoarece cu aplicarea greşită a dispoziţiilor art. 11 alin. (4) din Legea nr. 554/2004 şi stabilirea greşită a caracterului de act normativ Ordinului nr. 5/2016 privind stabilirea cotei obligatorii de achiziţie de certificate verzi, aferenta anului 2015 judecătorul fondului a respins ca nefondată excepţia tardivităţii Ordinului nr. 5/2016 invocată de subscrisa.</w:t>
      </w:r>
    </w:p>
    <w:p w14:paraId="4906A3B4"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Sentinţa civilă nr. 4265/10.11.2017 este nelegală deoarece, cu interpretarea greşită a dispoziţiilor Legii nr. 220/2008 şi ale HG nr. 495/2014, instanţa de fond a reţinut că Ordinul nr. 5/2016 „încalcă prevederile Legii nr, 220/2008, cât şi pe cele ale HG nr. 495/2014, întrucât exceptarea de care se bucură beneficiarii schemei de ajutor de stat este anuală".</w:t>
      </w:r>
    </w:p>
    <w:p w14:paraId="1EC2FEB1"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Ordinul ANRE nr. 5/26.02.2016 privind stabilirea cotei obligatorii de achiziţie de certificate verzi, aferentă anului 2015, publicat în Monitorul Oficial al României, Partea I, nr. 152/29.02.2016 a fost emis în temeiul prevederilor art. 4 alin. 9 din Legea nr. 220/2008, republicată, cu modificările şi completările ulterioare (denumită in continuare Lege), pe baza realizărilor din anul 2015, prin raportarea numărului total de certificate verzi emise în anul 2015 la consumul final total de energie electrică înregistrat în acelaşi interval, în condiţiile exceptării de la plata certificatelor verzi a unui consum final de energie electrică de 3 424,7 GWh, aferent perioadei cuprinse între data emiterii acordului de exceptare şi 31 decembrie 2015 (fără depăşirea nivelului corespunzător cotei obligatorii de E-SRE stabilit legal la valoarea de 11,9 % din consumul final brut de energie electrică, în conformitate cu prevederile art. 4 alin. (4) din Lege şi care beneficiază de sistemul de promovare prin certificate verzi - CV).</w:t>
      </w:r>
    </w:p>
    <w:p w14:paraId="39B19F06"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ordinului mai sus menţionat, ANRE a calculat numărul de CV necesar a fi achiziţionate pentru anul 2015 de către fiecare operator economic cu obligaţie de achiziţie de CV în parte, fiind utilizată la stabilirea numărului de CV, cota obligatorie de achiziţie de CV pentru anul 2015, conform Ordinului ANRE nr. 5/2016 şi a emis Lista cu privire la care Curtea a admis excepţia tardivităţii.</w:t>
      </w:r>
    </w:p>
    <w:p w14:paraId="6E2E710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La pronunţarea soluţiei, Curtea nu a luat în considerare afirmaţia Comisiei Europene din cuprinsul net. 18 al Avizului administrat în cauză formulat în conformitate cu Comunicarea Comisiei privind aplicarea normelor referitoare la ajutoarelor de stat de către instanţele naţionale în cauza A, conform căreia decizia se referă Ia schema de ajutor în general şi nu la aplicarea sa în cazul concret al fiecărui beneficiar.</w:t>
      </w:r>
    </w:p>
    <w:p w14:paraId="06B3478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Sentinţa recurată nu respectă principiul egalităţii de tratament si al nediscriminării în ceea ce priveşte implementarea schemei suport, având în vedere că în toate situaţiile de exceptare a fost aplicat principiul conform căruia acordurile de exceptare produc efecte numai de la data emiterii lor, astfel încât să se aplice un tratament egal tuturor acordurilor de exceptare emise, indiferent dacă acestea au fost emise înainte de apariţia HG nr. 113/24.02.2016 sau după; acest principiu este statuat şi în avizul Comisiei Europene mai sus amintit.</w:t>
      </w:r>
    </w:p>
    <w:p w14:paraId="26CBD731"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mod greşit Curtea reţine că "Urmare a deciziei Comisiei Europene de a nu ridica obiecţiuni cu privire la ajutor, considerând că este compatibil şi justificat pentru piaţa internă, la data de 1 decembrie 2014 a intrat în vigoare HG nr. 495/2014, prin care a fost instituită o schemă de ajutor de stat privind exceptarea unor categorii de consumatori finali A../. Conform dispoziţiilor acestei hotărâri, exceptarea se aplică de la 1 ianuarie a anului în care a fost emis acordul de exceptare . Mai mult, alin. 2 menţionează că pentru acordurile emise în 2014 (adică în decembrie 2014), exceptarea se aplică de la 1 ianuarie 2014.,,</w:t>
      </w:r>
    </w:p>
    <w:p w14:paraId="750B41C6"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Cu aplicarea greşită a art. 2 alin. (5) din HG nr. 495/2014 instanţa de fond retine "Aşa cum a arătat reclamanta şi din analiza art. 2 alin. (5) din HG nr. 495/2014, rezultă că elementele care stau la baza analizei dosarului de exceptare, au ca referinţă anul întreg" învederăm Onoratei înalte Curţi că art. 2 alin. (5) din HG nr. 495/2014 se referă la modul de calcul a electrointensităţii, iar faptul că formula de calcul conţine datele aferente ultimilor trei ani încheiaţi nu conduce la </w:t>
      </w:r>
      <w:r w:rsidRPr="00250C7F">
        <w:rPr>
          <w:rFonts w:ascii="Times New Roman" w:eastAsia="Calibri" w:hAnsi="Times New Roman" w:cs="Times New Roman"/>
          <w:sz w:val="24"/>
          <w:szCs w:val="24"/>
        </w:rPr>
        <w:lastRenderedPageBreak/>
        <w:t>concluzia că ajutorul trebuie acordat automat de la începutul anului în care a fost emis acordul de exceptare.</w:t>
      </w:r>
      <w:r w:rsidRPr="00250C7F">
        <w:rPr>
          <w:rFonts w:ascii="Times New Roman" w:eastAsia="Calibri" w:hAnsi="Times New Roman" w:cs="Times New Roman"/>
          <w:sz w:val="24"/>
          <w:szCs w:val="24"/>
        </w:rPr>
        <w:tab/>
      </w:r>
    </w:p>
    <w:p w14:paraId="4BE73400"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mod greşit  instanţa a reţinut „dacă cota obligatorie de achiziţie de CV este anuală, exceptarea nu poate fi decât anuală, astfel încât este nelegală poziţia ANRE, care a apreciat că exceptarea se aplică doar pentru energia electrică consumată ulterior emiterii acordului".</w:t>
      </w:r>
    </w:p>
    <w:p w14:paraId="7FC2D391"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Referitor la concluzia instanţei de fond conform căreia dacă cota obligatorie de achiziţie de CV este anuală, exceptarea nu poate fi decât anuală, aceasta este nelegală.</w:t>
      </w:r>
    </w:p>
    <w:p w14:paraId="703B4D45"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Cu interpretarea greşită a Deciziei C ("2014) 7287 din 15 octombrie 2014 precum si a avizului Comisiei Europene administrat ca probă în cauză instanţa de fond a reţinut că „în situaţia interpretării date de pârâtă prin Ordin s-a ajuns la situaţia nerespectării Deciziei Comisiei"."fiind încălcat principiul securităţii juridice".</w:t>
      </w:r>
    </w:p>
    <w:p w14:paraId="2E1049FA"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situaţia aplicării exceptării de la plata certificatelor verzi începând cu 01.01.2015, cum cota de certificate verzi nu mai poate fi modificată, Ordinul ANRE nr. 5/2016 producând efecte numai pentru anul de analiză 2015, cu închiderea anului la data de 15 aprilie 2016 fin conformitate cu prevederile art. 12 alin. (ll) din Lege), contravaloarea certificatelor verzi aferentă diferenţei de consum de energie electrică a acesteia din perioada cuprinsă între data de 01.01.2015 si data emiterii acordului de exceptare (11.06.2015), respectiv de 318 325,135 MWh va trebui să fie suportată de ceilalţi consumatori finali neexceptaţi şi care reprezintă circa 12 milioane lei (pentru 88.494 CV).</w:t>
      </w:r>
    </w:p>
    <w:p w14:paraId="41F2C3AD"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 3.2. Recurenta A SA a formulat recurs  împotriva sentinţei civile nr. 4265/10.11.2017 şi a încheierii de şedinţă din data de 17.02.2017, strict în ceea ce priveşte admiterea excepţiei tardivităţii cu privire la cererea de anulare a Listei operatorilor economici cu obligaţie de achiziţie de certificate verzi şi numărul de certificate verzi necesare pentru îndeplinirea cotei obligatorii de achiziţie de certificate verzi pentru amil de analiză 2015, publicată de ANRE pe site-ul www.anre.ro în data de 2 martie 2016, solicitând casarea în parte a încheierii şi a sentinţei, strict în ceea ce priveşte soluţia de admitere a excepţiei amintite, rejudccarea în sensul respingerii excepţiei, trimiterea cauzei spre rejudecare către prima instanţă în vederea soluţionării pe fond a acţiunii în anulare a Listei.</w:t>
      </w:r>
    </w:p>
    <w:p w14:paraId="1949A51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încheierea de şedinţă din data de 17.02.2017 prima instanţă a admis excepţia tardivităţii formulării cererii privind anularea Listei operatorilor economici cu obligaţie de achiziţie de certificate verzi şi numărul de certificate verzi necesare pentru îndeplinirea cotei obligatorii de achiziţie de certificate verzi pentru anul de analiză 2015, publicată de ANRE pe site-ul www.anre.ro în data de 2 martie 2016. </w:t>
      </w:r>
    </w:p>
    <w:p w14:paraId="394FCDC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Pentru a pronunţa această soluţie, instanţa a considerat că Lista reprezintă un act administrativ cu caracter individual, astfel încât devin incidente prevederile art. 5 alin.7) din OUG nr. 33/2007, reclamanta fiind obligată să introducă acţiunea în anulare în termen de 30 de zile de la data publicării actelor în Monitorul Oficial, respectiv de la data la care actele au fost notificate părţilor interesate.</w:t>
      </w:r>
    </w:p>
    <w:p w14:paraId="45973F3D"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Pe de altă parte, prin sentinţa civilă nr. 4265/10.11.2017, instanţa a admis în partea cererea de chemare în judecată şi a anulat Ordinul ANRE nr. 5/26.02.2016. </w:t>
      </w:r>
    </w:p>
    <w:p w14:paraId="5661D41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pronunţarea soluţiei, instanţa de fond reţine că „Lista, care constituie anexa aferentă ordinului, aceasta nu este o parte integrantă din acesta, ci este un act administrativ cu caracter individual emis în aplicarea Ordinului nr. 5/2016.,,</w:t>
      </w:r>
    </w:p>
    <w:p w14:paraId="021324E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Problema de drept ce face obiectul discuţiei este, aşadar, în principal, calificarea Listei ca act administrativ individual sau normativ, iar în subsidiar, în măsura în care s-ar considera că Lista este un act administrativ normativ, aplicabilitatea dispoziţiilor art. 5 alin. 7) din OUG nr. 33/2007.</w:t>
      </w:r>
    </w:p>
    <w:p w14:paraId="337C10AE"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ceea ce priveşte condiţia ca destinatarii actului administrativ să fie individualizaţi -practic unicul criteriu reţinut de instanţa de fond în efectuarea calificării juridice a actului, în cadrul categoriei actelor cu caracter individual, simpla precizare a unei categorii de subiecte, fie ea restrânsă numeric sau chiar identificabilă în baza evidentelor oficiale, nu este suficientă, ceea ce determină existenţa unui act administrativ cu caracter normativ.</w:t>
      </w:r>
    </w:p>
    <w:p w14:paraId="3998BDBA"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concluzie, gradul de generalitate al actelor administrative normative diferă în sensul că anumite norme privesc orice persoană aflată în ţară, spre exemplu, regulile privind circulaţia pe drumurile publice, iar alte norme au un obiect de reglementare mai restrâns, de exemplu, normele ce privesc categorii determinate de persoane.</w:t>
      </w:r>
    </w:p>
    <w:p w14:paraId="33B3633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Lista operatorilor economici cu obligaţie de achiziţie de CV şi numărul de CV necesare pentru îndeplinirea cotei obligatorii de achiziţie de CV pentru anul de analiză 2015 este un act administrativ cu caracter normativ.</w:t>
      </w:r>
    </w:p>
    <w:p w14:paraId="03F2C666"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Lista constituie un act administrativ cu caracter normativ, act prin care ANRE stabileşte numărul de CV pe care furnizorii de energie electrică trebuie să îl achiziţioneze în funcţie de cantităţile de energie electrică furnizată consumatorilor finali, fiind obligaţia legală a ANRE de a stabili aceste aspecte, potrivit art. 27 alin. 3 din Metodologie : „În termen de 3 zile lucratoare de la data intrării în vigoare a ordinului ANRE prevăzut la alin. (1), ANRE publică pe site-itl propriu şi transmite Ia OPCV lista operatorilor economici cu obligaţie de achiziţie de CV şi numărul de CV necesare pentru îndeplinirea cotei obligatorii de achiziţie de CV pentru anul de analiză,,.</w:t>
      </w:r>
    </w:p>
    <w:p w14:paraId="13B1E31E" w14:textId="2FDF8C2B"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Mai mult decât atât, trebuie subliniat că întrucât ANRE a stabilit, prin Listă, numărul de CV ce trebuie achiziţionat de fiecare furnizor. ANRE a stabilit şi cantitatea de energie electrică neexceptată, respectiv cantitatea de energie electrică asupra căreia se va aplica cota obligatorie de CV. Altfel spus, ANRE a stabilit deja cantitatea de energie pentru care A va trebui să plătească valoarea CV.</w:t>
      </w:r>
    </w:p>
    <w:p w14:paraId="2A62A1E2"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Suprapunând caracteristicile Listei peste trăsăturile generale oferite de doctrină şi definiţia legală, rezultă în afara oricărui dubiu că ne aflăm în prezenţa unui act administrativ, întrucât este vorba de un: </w:t>
      </w:r>
    </w:p>
    <w:p w14:paraId="24E9267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act unilateral emis de o autoritate publică în regim de putere publică; ANRE este organ al administraţiei publică învestit cu autoritate publică, legea instituind competenţe speciale în favoarea acesteia în materia stabilirii cotei obligatorii de achiziţie de CV, precum si a numărului propriu-zis de CV;</w:t>
      </w:r>
    </w:p>
    <w:p w14:paraId="1F760C2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act emis în vederea organizării executării legii sau a executării în concret a legii.</w:t>
      </w:r>
    </w:p>
    <w:p w14:paraId="0EBE3634"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Metodologia prevede în mod expres obligaţia ANRE de a stabili numărul de CV şi de a-l publica: „în termen de 3 zile lucrătoare de la data intrării in vigoare a ordinului ANRE.</w:t>
      </w:r>
    </w:p>
    <w:p w14:paraId="3232152D"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act ce naşte, modifică sau stinge raporturi juridice; Lista publicată de ANRE declanşează naşterea obligaţiei furnizorilor de a achiziţiona CV, în cuantumul stabilit prin Listă; dacă ANRE nu ar publica lista, furnizorii nu ar cunoaşte câte CV trebuie să cumpere.</w:t>
      </w:r>
    </w:p>
    <w:p w14:paraId="4663203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ceea ce priveşte motivele pentru care Lista constituie un act administrativ cu caracter normativ, trebuie avut în vedere că nu doar entităţile (furnizorii de energic electrică) ce achiziţionează propriu-zis CV sunt afectate de numărul acestora, stabilit de ANRE.</w:t>
      </w:r>
    </w:p>
    <w:p w14:paraId="63D8832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Dimpotrivă, sfera persoanelor afectate de prevederile actului administrativ în discuţie este mult mai largă, aceasta incluzând orice consumator de energie electrică - deci şi A, inclusiv cei casnici.</w:t>
      </w:r>
    </w:p>
    <w:p w14:paraId="042D25F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urmare, sarcina pecuniară implementată prin sistcmul de CV este suportată nu de furnizorii de energie electrică, ci de consumatori (situaţia în care se află A), întrucât aceştia achită contravaloarea  CV cumpărate, într-o primă fază, de către furnizori.</w:t>
      </w:r>
    </w:p>
    <w:p w14:paraId="53168604"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este în afara oricărui dubiu că Lista a cărei anulare o solicită se adresează unor destinatari neidentificaţi explicit, respectiv operatorii economici cu obligaţii de achiziţie de CV, dar-şi consumatorii finali de energic electrică.</w:t>
      </w:r>
    </w:p>
    <w:p w14:paraId="22202903"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Un alt argument ce conduce la concluzia caracterului normativ al Listei derivă din caracterul de taxă pe care îl are obligaţia de suportare a contravalorii CV.</w:t>
      </w:r>
    </w:p>
    <w:p w14:paraId="46D21E9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cum rezultă din Decizia din 13 iulie 2011 a Comisiei Europene (C(2011) 4938 final pentru aprobarea sistemului de promovare a producţiei de energie electrică din resurse regenerabile "(„ESRE") prin Certificate Verzi, componenta de CV nu reprezintă un tarif (întrucât nu este prestat niciun serviciu), fiind vorba, în realitate, de o taxă prin care consumatorii de energie electrică suportă sprijinul acordat producătorilor de ESRE.</w:t>
      </w:r>
    </w:p>
    <w:p w14:paraId="05ECAA81"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potrivit par. 60 din Decizie: „Componenta facturii reprezintă o taxă impusă pe consumul de energie electrică. Aceasta nu corespunde preţului unui produs."</w:t>
      </w:r>
    </w:p>
    <w:p w14:paraId="6355BEF3"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Tot Comisia a reţinut că furnizorii de energie electrică nu sunt decât nişte intermediari ai statului în mecanismul de susţinere a producătorilor de ESRE, mecanism ce are la bază suportarea componentei de CV de către toţi consumatorii de energie electrică din România. </w:t>
      </w:r>
    </w:p>
    <w:p w14:paraId="6B8B50E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concluzie, atât timp cât sistemul de promovare prin CV a fost stabilit prin Lege, nu se poate susţine că condiţiile efective pentru implementarea si desfăşurarea acestuia fac obiectul unor acte administrative cu caracter individual.</w:t>
      </w:r>
    </w:p>
    <w:p w14:paraId="5AACC6CD"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Chiar dacă s-ar considera că Lista este un act administrativ cu caracter individual, dispoziţiile art, 5 alin. 7) din OUG nr. 33/2007 nu îi sunt aplicabile.</w:t>
      </w:r>
    </w:p>
    <w:p w14:paraId="3153888E"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Lista constituie un act administrativ cu caracter normativ, act prin care ANRE stabileşte numărul de CV pe care furnizorii de energie electrică trebuie să îl achiziţioneze în funcţie de cantităţile de energie electrică furnizată consumatorilor finali, fiind obligaţia legală a ANRE de a stabili aceste aspecte, potrivit art. 27 alin. 3 din Metodologie.</w:t>
      </w:r>
    </w:p>
    <w:p w14:paraId="6CAA8082"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al doilea rând, dispoziţiile în discuţie prevăd că termenul special pentru formularea cererii în contencios administrativ curg „de la data publicării acestora în Monitorul Oficial al României, Partea I, respectiv de la data la care au fost notificate părţilor interesate ". Or, în speţă, Lista nu a fost publicată în Monitorul Oficial şi nici nu a fost notificată părţilor interesate, aceasta fiind publicată pe site-ul ANRE.</w:t>
      </w:r>
    </w:p>
    <w:p w14:paraId="6410DBA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Dispoziţiile art. 5 alin. 7) din OUG nr. 33/2007 au un evident caracter de excepţie, fiind de strictă interpretare şi aplicare, astfel încât incidenţa lor nu se poate extinde şi la alte situaţii pe care, în mod evident, legiuitorul nu le-a luat în considerare, respectiv situaţia publicării actului administrativ pe pagina de internet a autorităţii emitente.</w:t>
      </w:r>
    </w:p>
    <w:p w14:paraId="75C7B38A" w14:textId="4E49B628"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3.3. Aceeaşi recur</w:t>
      </w:r>
      <w:r w:rsidR="00B940E9" w:rsidRPr="00250C7F">
        <w:rPr>
          <w:rFonts w:ascii="Times New Roman" w:eastAsia="Calibri" w:hAnsi="Times New Roman" w:cs="Times New Roman"/>
          <w:sz w:val="24"/>
          <w:szCs w:val="24"/>
        </w:rPr>
        <w:t xml:space="preserve">entă, A SA, a formulat recurs </w:t>
      </w:r>
      <w:r w:rsidRPr="00250C7F">
        <w:rPr>
          <w:rFonts w:ascii="Times New Roman" w:eastAsia="Calibri" w:hAnsi="Times New Roman" w:cs="Times New Roman"/>
          <w:sz w:val="24"/>
          <w:szCs w:val="24"/>
        </w:rPr>
        <w:t>incident împotriva considerentelor încheierii de şedinţă din data de 17.02.2017, solicitând casarea parţială a acesteia şi, în rejudecare, modificarea considerentelor în sensul respingerii excepţiei tardivităţii formulării acţiunii în anularea Ordinului nr. 5/2016 şi ca urmare a constatării faptului că destinatarii acestui act administrativ sunt toţi consumatorii de energie electrică.</w:t>
      </w:r>
    </w:p>
    <w:p w14:paraId="093FAA7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Prin încheierea de şedinţă din 17.02.2017, prima instanţă a respins excepţia tardivităţii cu privire la cererea de anulare a Ordinului nr. 5/2016, a  admis excepţia tardivităţii cu privire la admiterea excepţiei tardivităţii cu privire la cererea de anulare a Listei operatorilor economici cu obligaţie de achiziţie de certificate verzi şi numărul de certificate verzi necesare pentru îndeplinirea cotei obligatorii de achiziţie de certificate verzi pentru anul de analiză 2015, publicată de ANRE pe site-ul www.anre.ro în data de 2 martie 2016.</w:t>
      </w:r>
    </w:p>
    <w:p w14:paraId="6A7BA8D0"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ceea ce priveşte excepţia tardivităţii cererii de anulare a Ordinului nr. 5/2016, prima instanţă în mod corect a respins-o, reţinând următoarele argumente:</w:t>
      </w:r>
    </w:p>
    <w:p w14:paraId="250830F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pentru stabilirea caracterului normativ sau individual al unui act administrativ, nu interesează numărul concret al destinatarilor, ci modul de redactare al normei; dacă aceasta cuprinde o formulare cu caracter generic şi impersonal, adresată unor destinatari neidentificaţi expres prin norma respectivă, atunci are caracter normativ; dacă destinatarii sunt individualizaţi prin chiar actul respectiv, atunci cu siguranţă actul are caracter individual;</w:t>
      </w:r>
    </w:p>
    <w:p w14:paraId="464C5CA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instanţa reţine caracterul de act normativ al ordinului atacat pentru că acesta nu individualizează expres destinatarii săi; calitatea de operator economic cu obligaţie de achizifie de certificate verzi rezultă din prevederile Legii nr. 220/2008 şi este o vocaţie generală pe care o poate avea orice agent economic ce alege acest obiect de activitate, atâta timp cât deţine autorizările prevăzute de lege;</w:t>
      </w:r>
    </w:p>
    <w:p w14:paraId="7A8B97C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un argument suplimentar al caracterului normativ al acestuia este publicarea acestuia în Monitorul Oficial, conform art. 5 alin. 5 din Ordonanţa de Urgenţă nr. 33/2007, temei de drept invocat în preambulul Ordinului nr. 5/2016. Acest temei se coroborează cu art. 11 alin. 1 din Legea nr. 24/2000. Astfel, aplicând argumentul per a contrario, dacă Ordinul nr. 5/2016 ar fi fost un act administrativ cu caracter individual, nu ar exista nici un temei legal pentru ca acesta să fi fost publicat în Monitorul Oficial</w:t>
      </w:r>
    </w:p>
    <w:p w14:paraId="584BC6ED"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nu poate fi primit nici argumentul pârâtei, în sensul că un criteriu în baza căruia se stabileşte caracterul de act normativ al unui act normativ este aplicabilitatea repetată, iar ordinul se aplică o singură dată; astfel, revenind la exemplul cu procentul p, şi acela are aplicabilitate limitată; apoi, sunt numeroase acte normative care au aplicabilitate limitată în timp, fără a deveni, aceasta, individuale, durata de aplicare a unui act nefiind esenţială pentru clasificarea acestuia ca normativ sau individual.</w:t>
      </w:r>
    </w:p>
    <w:p w14:paraId="6E1B4D22"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Pe de altă parte, prima instanţă a respins, în mod greşit, un argument esenţial invocat de  recurentă în susţinerea caracterului normativ al Ordinului nr. 5/2016 în sensul că sfera persoanelor afectate de prevederile actului administrativ in discuţie şi în privinţa cărora acesta produce efecte juridice include orice consumator de energie electrică, inclusiv cei casnici. </w:t>
      </w:r>
    </w:p>
    <w:p w14:paraId="286B05C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Stabilirea, prin Ordinul nr. 5/2016, a cotei obligatorii de achiziţie de certificate verzi afectează toţi consumatorii de energic electrică, componenta de CV din cuprinsul facturii (si, deci, al sumei finale de plată) urmând să varieze în funcţie de cele stabilite de ANRE prin Ordinul nr. 5/2016, ce face obiectul acţiunii în anulare.</w:t>
      </w:r>
    </w:p>
    <w:p w14:paraId="2CC9FAB7" w14:textId="2E112729"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cum rezultă din Decizia din 13 iulie 2011 a Comisiei Europene (C(2011) 493S final pentru aprobarea sistemului de promovare a producţiei de energie electrică din resurse regenerabile („ESRE") prin Certificate Verzi, componenta de CV nu reprezintă un tarif (întrucât nu este prestat niciun serviciu), fiind vorba, în realitate, de o taxă prin care consumatorii de energie electrică suportă sprijinul acordat producătorilor de ESRE.</w:t>
      </w:r>
    </w:p>
    <w:p w14:paraId="5BA3FA46"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Sintetizând, furnizorii de energie electrică sunt obligaţi să achiziţioneze un număr de CV (stabilit prin Listă) egal cu produsul dintre cota stabilită de ANRE (prin Ordinul nr. 5/2016) şi cantitatea de energie livrată consumatorilor finali.</w:t>
      </w:r>
    </w:p>
    <w:p w14:paraId="3CC52752"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Valoarea CV achiziţionate de furnizor este „spartă" şi repartizată (prin facturare) fiecărui consumator final în funcţie de cantitatea de energie electrică pe care a consumat-o de la furnizor; obligaţia de plată a acestor certificate verzi revine astfel, prin lege, consumatorului final, iar factorii care determină cuantumul efectiv al plăţii (cota obligatorie anuală, cantitatea de energie la care se aplică cota, numărul de CV ce trebuie suportate de marele consumator) sunt stabiliţi de ANRE; tocmai de aceea, Comisia Europeană califică plata CV de către consumatorul final ca fiind în realitate o taxă.</w:t>
      </w:r>
    </w:p>
    <w:p w14:paraId="7282511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achitarea facturii, consumatorii finali de energie electrică (precum A) suportă întreaga valoare a certificatelor verzi.</w:t>
      </w:r>
    </w:p>
    <w:p w14:paraId="0C6E23E5"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3.4. Recurentul Operatorul Pieţei de Energie Electrică şi Gaze Naturale - OPCOM S.A. formulează  recurs incident împotriva încheierii de şedinţă din data de 17.02.2017 şi respectiv Sentinţei Civile nr. 4265/10.11.2017 pronunţate de Curtea de Apel Bucureşti în dosarul nr. 2818/2/2016 solicitând casarea hotărârilor atacate în sensul admiterii excepţiei lipsei calităţii sale procesuale pasive şi respingerii cererii de chemare în judecată ca fiind introdusă împotriva unei persoane fără calitate procesuală pasivă.</w:t>
      </w:r>
    </w:p>
    <w:p w14:paraId="7863CCB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Critica principală formulată de recurentul-pârât priveşte, în esenţă, greşita  respingere a excepţiei lipsei calităţii procesuale pasive a acesteia, sens în care a  solicitat  admiterea recursului, casarea sentinţei, admiterea excepţiei invocate şi, in consesinţă, respingerea acţiunii reclamantei ca fiind formulată împotriva unei persoane fără calitate  procesuală pasivă. </w:t>
      </w:r>
    </w:p>
    <w:p w14:paraId="27B2C34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  Arată că instanţa de fond în mod greşit a respins excepţia lipsei calităţii procesuale pasive în condiţiile în care nu este emitentului ordinului şi nici a listei atacate de către reclamantă, având numai rolul de administrare a pieţei de achiziţie a CV.</w:t>
      </w:r>
    </w:p>
    <w:p w14:paraId="0FFB745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continuare, a arătat că actul administrativ contestat nu a fost emis de către OPCOM S.A., şi aceasta nu este nici beneficiarul acestui act, după cum în mod greşit a reţinut instanţa de fond.</w:t>
      </w:r>
    </w:p>
    <w:p w14:paraId="3CABABEA"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OPCOM S.A. este, alături de toţi producătorii de energie electrică cu obligaţia de achiziţie a unor certificate verzi, unul dintre destinatarii acestui act, respectiv o persoană care are obligaţia de a-l respecta. </w:t>
      </w:r>
    </w:p>
    <w:p w14:paraId="20EEF638" w14:textId="61472064"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Mai arată că, soluţiei instanţei de fond este nelegală şi din punctul de vedere al faptului că  toate persoanele determinate ori nedeterminate cărora li se adresează un astfel de ordin ar trebui să fie parte în proces pentru opozabilitate.</w:t>
      </w:r>
    </w:p>
    <w:p w14:paraId="0A687D64"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Astfel, instanţa de fond a încălcat dispoziţiile art. 16 ind. 1 din Legea nr. 554/2004 şi ale art. 36 C.proc.civ. </w:t>
      </w:r>
    </w:p>
    <w:p w14:paraId="659F1DE6" w14:textId="5D0F7764"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4.</w:t>
      </w:r>
      <w:r w:rsidR="00D2378A" w:rsidRPr="00250C7F">
        <w:rPr>
          <w:rFonts w:ascii="Times New Roman" w:eastAsia="Calibri" w:hAnsi="Times New Roman" w:cs="Times New Roman"/>
          <w:sz w:val="24"/>
          <w:szCs w:val="24"/>
        </w:rPr>
        <w:t xml:space="preserve"> </w:t>
      </w:r>
      <w:r w:rsidRPr="00250C7F">
        <w:rPr>
          <w:rFonts w:ascii="Times New Roman" w:eastAsia="Calibri" w:hAnsi="Times New Roman" w:cs="Times New Roman"/>
          <w:sz w:val="24"/>
          <w:szCs w:val="24"/>
        </w:rPr>
        <w:t>Apărările formulate în cauză</w:t>
      </w:r>
    </w:p>
    <w:p w14:paraId="244ADFB7" w14:textId="2FD3863D" w:rsidR="00023D86" w:rsidRPr="00250C7F" w:rsidRDefault="00B940E9"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4.1. </w:t>
      </w:r>
      <w:r w:rsidR="00023D86" w:rsidRPr="00250C7F">
        <w:rPr>
          <w:rFonts w:ascii="Times New Roman" w:eastAsia="Calibri" w:hAnsi="Times New Roman" w:cs="Times New Roman"/>
          <w:sz w:val="24"/>
          <w:szCs w:val="24"/>
        </w:rPr>
        <w:t xml:space="preserve">Intimata Autoritatea Naţională de Reglementare în Domeniul Energiei a depus întâmpinări la recursurile  principal şi incident declarate de reclamanta A SA, solicitând respingerea lor, ca nefondate. </w:t>
      </w:r>
    </w:p>
    <w:p w14:paraId="67753D2E"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4.2. Intimata A SA a depus întâmpinare la recursul declarat de pârâta Autoritatea Naţională de Reglementare în Domeniul Energiei solicitând, la rândul ei, respingerea lui, ca nefondat.</w:t>
      </w:r>
    </w:p>
    <w:p w14:paraId="17B8F56A"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4.3. Intimata A SA a depus întâmpinare şi la recursul incident formulat de Operatorul Pieţei de Energie Electrică şi Gaze Naturale S.A solicitând, în principal, anularea lui pentru nedezvoltatea motivelor de recurs în condiţiile art. 488 Cod proced. civilă iar în subsidiar, respingerea lui, ca nefondat.</w:t>
      </w:r>
    </w:p>
    <w:p w14:paraId="2DABA5F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5. Aspecte de fapt şi de drept relevante</w:t>
      </w:r>
    </w:p>
    <w:p w14:paraId="2D0AF95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acţiunea introductivă, astfel cum a fost completată ulterior, reclamanta A S.A. contradictoriu cu pârâta Autoritatea Naţională de Reglementare în Domeniul Energiei şi pârâtul OPCOM SA a solicitat anularea Ordinului preşedintelui ANRDE nr. 5 /26.02.2016 şi a Listei operatorilor economici cu obligaţie de achiziţie de CV şi nr. de CV necesare pentru îndeplinirea cotei obligatorii de CV pentru anul de analiză 2015, publicată pe site-ul pârâtei la data de 02.03.2016.</w:t>
      </w:r>
    </w:p>
    <w:p w14:paraId="190CDEDE"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Conținutul ordinului atacat este următorul:</w:t>
      </w:r>
    </w:p>
    <w:p w14:paraId="1DCEB714"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Art. 1: Cota obligatorie de achiziţie de certificate verzi de către operatorii economici care au obligaţia achiziţiei de certificate verzi, pentru anul 2015, se stabileşte la 0,278 certificate verzi/MWh, corespunzătoare unui consum final de energie electrică exceptat de la plata certificatelor verzi de 3.424,7 GWh.</w:t>
      </w:r>
    </w:p>
    <w:p w14:paraId="1E52383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Art. 2:  Societatea "Operatorul Pieţei de Energie Electrică şi Gaze Naturale - OPCOM" - S.A., producătorii de energie electrică din surse regenerabile şi operatorii economici prevăzuţi la art. 1 duc la îndeplinire prevederile prezentului ordin.”</w:t>
      </w:r>
    </w:p>
    <w:p w14:paraId="53441197"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Dispozițiile de mai sus se completează cu Lista anexă la ordin, care conține tabelul cu societățile obligate să achiziționeze certificatele verzi și numărul de certificate pe care au obligația să le achiziționeze așa cum aceasta este publicată pe pagina web a ANRE.</w:t>
      </w:r>
    </w:p>
    <w:p w14:paraId="7563A5BE"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Certificatele verzi emise producătorilor de energie verde trebuie achiziţionate de către furnizorii de energie, in cotele stabilite de către Autoritatea Naţionala de Reglementare in domeniul Energiei (ANRE) (cote ce se stabilesc anual). Aceste cote reprezintă numărul de certificate verzi pe care fiecare furnizor de energie electrica trebuie sa il achiziţioneze pentru fiecare MWh furnizat către consumator. Cotele si respectiv numărul de certificate verzi pe care fiecare furnizor trebuie sa le cumpere, nu sunt stabilite prin raportare la numărul total de certificate verzi emise producătorilor (astfel incat sa se asigure vanzarea tuturor certificatelor emise), ci la cota anuala obligatorie de energie electrică produsă din surse regenerabile care beneficiază de sistemul de promovare pe baza certificatelor verzi - cota stabilita anual de GUVERNUL ROMÂNIEI.</w:t>
      </w:r>
    </w:p>
    <w:p w14:paraId="0ADA6CB4"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data de 2 iulie 2014, autoritatile romane au notificat un ajutor sub forma unei finantari reduse a sprijinului pentru electricitatea din surse regenerabile de energie planificat a fi acordat marilor consumatori de energie.</w:t>
      </w:r>
    </w:p>
    <w:p w14:paraId="7888E07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documentul depus la Comisia Europeană, autoritatile romane menţionează ca preţul ridicat la energie, ca urmare a schemei de sprijin pentru surse regenerabile de energie, atrage un risc crescut de relocalizare a marilor consumatori de energie electrica, care reprezintă cel mai mare generator de locuri de munca. In vederea reducerii efectelor negative la nivel de tara, Romania a decis sa acorde un ajutor sub forma unei finantari reduse. Practic, mari consumatori care indeplinesc condiţiile pentru a beneficia de acest sprijin sunt exceptaţi de la plata certificatelor verzi corespunzător unor procentaje de 85%, 60% sau 40% din energia electrica pe care o consuma.</w:t>
      </w:r>
    </w:p>
    <w:p w14:paraId="36186CCE"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Conform Deciziei Comisiei Europene C(2014) 7287 din 15 octombrie 2014, in proiectul de hotarare de guvern transmis de Romania la 24 septembrie 2014, s-a indicat ca masura va fi pusa in aplicare incepand din 1 decembrie 2014. Astfel, Romania s-a angajat in fata Comisiei Europene cu privire la aplicarea unor masuri pe care chiar statul roman le-a notificat.</w:t>
      </w:r>
    </w:p>
    <w:p w14:paraId="6212F593"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Urmare a deciziei Comisiei Europene de a nu ridica obiectiuni cu privire la ajutor, considerând ca este compatibil si justificat pentru piaţa interna, la data de 1 decembrie 2014 a intrat in vigoare HG nr. 495/2014, prin care a fost instituita o schema de ajutor de stat privind exceptarea unor categorii de consumatori finali de la aplicarea Legii nr. 220/2008 pentru stabilirea sistemului de promovare a producerii energiei din surse regenerabile de energie. Conform dispoziţiilor acestei hotarari, exceptarea se aplica de la 1 ianuarie a anului in care a fost emis acordul de exceptare. Mai mult, alin. 2 menţiona ca pentru acordurile emise in 2014 (adica in decembrie 2014), exceptarea se aplica de la 1 ianuarie 2014.</w:t>
      </w:r>
    </w:p>
    <w:p w14:paraId="0C63E0F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sentinţa civilă nr. 2558 din 23 iunie 2017 a Curţii de Apel Bucureşti – Secţia a VIII-a contencios administrativ şi fiscal, pronunţată în dosar nr. 7318/2/2016, menţinută prin Decizia nr. 3913/24.07.2020 a Înaltei Curţi de Casaţie şi Justiţie, s-a dispus în sensul anulării Ordinului ANRE nr. 5/26.02.2016 privind stabilirea cotei obligatorii de achiziţie certificate verzi, aferentă anului 2015.</w:t>
      </w:r>
    </w:p>
    <w:p w14:paraId="6EBA5864" w14:textId="5C01AF99"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6.</w:t>
      </w:r>
      <w:r w:rsidR="00D2378A" w:rsidRPr="00250C7F">
        <w:rPr>
          <w:rFonts w:ascii="Times New Roman" w:eastAsia="Calibri" w:hAnsi="Times New Roman" w:cs="Times New Roman"/>
          <w:sz w:val="24"/>
          <w:szCs w:val="24"/>
        </w:rPr>
        <w:t xml:space="preserve"> </w:t>
      </w:r>
      <w:r w:rsidRPr="00250C7F">
        <w:rPr>
          <w:rFonts w:ascii="Times New Roman" w:eastAsia="Calibri" w:hAnsi="Times New Roman" w:cs="Times New Roman"/>
          <w:sz w:val="24"/>
          <w:szCs w:val="24"/>
        </w:rPr>
        <w:t>Considerentele Înaltei Curţi asupra recursurilor declarate în cauză</w:t>
      </w:r>
    </w:p>
    <w:p w14:paraId="7DDDED69" w14:textId="6F731D4D"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6.1.</w:t>
      </w:r>
      <w:r w:rsidR="00B940E9" w:rsidRPr="00250C7F">
        <w:rPr>
          <w:rFonts w:ascii="Times New Roman" w:eastAsia="Calibri" w:hAnsi="Times New Roman" w:cs="Times New Roman"/>
          <w:sz w:val="24"/>
          <w:szCs w:val="24"/>
        </w:rPr>
        <w:t xml:space="preserve"> </w:t>
      </w:r>
      <w:r w:rsidRPr="00250C7F">
        <w:rPr>
          <w:rFonts w:ascii="Times New Roman" w:eastAsia="Calibri" w:hAnsi="Times New Roman" w:cs="Times New Roman"/>
          <w:sz w:val="24"/>
          <w:szCs w:val="24"/>
        </w:rPr>
        <w:t>Cu privire la criticile recurentului -pârât Operatorul Pieţei de Energie Electrică şi Gaze Naturale - OPCOM - S.A.  ce vizează greșita soluționare a excepției lipsei calităţii procesuale pasive a acesteia, Înalta Curte reţine că se impun, cu putere de lucru judecat, considerentele Înaltei Curţi de Casaţie şi Justiţie consemnate în Decizia nr. 3214/7.07.2020, pronunţată în dosar nr. 3189/2/20116.</w:t>
      </w:r>
    </w:p>
    <w:p w14:paraId="45E9C35D"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De menţionat este faptul că respectivul dosar a avut ca obiect acţiunea introductivă  astfel cum a fost completată ulterior şi  înregistrată sub nr. 3189/2/2016, pe rolul Curţii de Apel Bucureşti- Secţia a VIII-a Contencios Administartiv şi Fiscal,  prin care reclamanta CRH Ciment Romania SA, în contradictoriu cu pârâta Autoritatea Naţională de Reglementare în Domeniul Energiei şi OPCOM - S.A.,  a solicitat anularea Ordinului preşedintelui ANRDR nr. 5/26.02.2016 ( ordin care face şi obiectul prezentei judecăţi ) şi a Listei operatorilor economici cu obligaţie de achiziţie de CV şi nr. de CV necesare pentru îndeplinirea cotei obligatorii de CV pentru anul de analiză 2015, publicată pe site-ul pârâtei la data de 02.03.2016.</w:t>
      </w:r>
    </w:p>
    <w:p w14:paraId="33F8A81E"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respectiva decizie, Înalta Curte a constat că   instanța de fond a respins în mod greşit excepția lipsei calităţii procesuale pasive a pârâtei Societatea Operatorul Pieţei de Energie Electrică şi Gaze Naturale – OPCOM S.A sub considerentul că există identitate între beneficiarul actelor administrative contestate şi pârâtul chemat astfel în judecată, fiind aplicabile dispoziţile art. 16 ind. 1 din legea nr. 554/2004, cu modificările ulterioare.</w:t>
      </w:r>
    </w:p>
    <w:p w14:paraId="17CCEA1E" w14:textId="77777777" w:rsidR="00D2378A"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S-a reţinut că, în ceea ce priveşte calitatea procesuală pasivă, aceasta  aparține emitentului actului administrativ contestat.  Sub acest aspect, în jurisprudență s-a considerat că, în materie de contencios administrativ, calitatea procesuală derivă din capacitatea administrativă de a emite acte administrative cu caracter individual sau normativ.</w:t>
      </w:r>
    </w:p>
    <w:p w14:paraId="3D822791" w14:textId="60D64975"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Mai mult, din  dispoziţiile art.  36, teza I Cod procedură civilă  reiese că, în ceea ce priveşte calitatea procesuală, aceasta rezultă din identitatea dintre părţi şi subiectele raportului juridic litigios, astfel cum acesta este dedus judecăţii.</w:t>
      </w:r>
    </w:p>
    <w:p w14:paraId="4534B300"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Raportat la dispoziţia legală anterior menţionată, Înalta Curte a reţinut că, din  acest punct de vedere cadrul procesual, nu se poate lega valabil decât între subiectele dreptului ce rezultă din raportul dedus judecății.</w:t>
      </w:r>
    </w:p>
    <w:p w14:paraId="11C3F23A"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 împrejurarea reținută de instanța fondului nu se confirmă, recurenta-pârâtă Societatea Operatorul Pieţei de Energie Electrică şi Gaze Naturale – OPCOM S.A nu este emitentului ordinului şi nici a listei atacate de către reclamantă, ci având numai rolul de administrare a pieţei de achiziţie a certificatelor verzi (CV).</w:t>
      </w:r>
    </w:p>
    <w:p w14:paraId="25304BC7"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 De altfel, acest aspect reiese din art. 2 din Ordinul atacat care prevede că: Societatea  Operatorul Pieţei de Energie Electrică şi Gaze Naturale - Opcom S.A., producătorii de energie electrică din surse regenerabile şi operatorii economici prevăzuţi la art. 1 duc la îndeplinire prevederile prezentului ordin. </w:t>
      </w:r>
    </w:p>
    <w:p w14:paraId="48D7C751"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 Mergând pe calea acestui raționament, Înalta Curte a constat că, în mod greşit, instanţa de fond a respins excepţia lipsei calităţii procesuale pasive a pârâtei.  </w:t>
      </w:r>
    </w:p>
    <w:p w14:paraId="190646D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Întrucât, în prezenta cauză, pârâtul OPCOM - S.A.  este chemat în judecată într-un litigiu vizând anularea aceluiaşi ordin, pentru aceleaşi considerente, Înalta Curte apreciază că argumentele de mai sus se impun cu putere de lucru judecat.</w:t>
      </w:r>
    </w:p>
    <w:p w14:paraId="20D88CD6"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6.2. În ceea ce priveşte recursul declarat de Autoritatea Naţională de Reglementare în Domeniul Energiei împotriva  încheierii din data de 17.02.2017 pronunţată de Curtea de Apel Bucureşti în ceea ce priveşte respingerea excepţiei tardivităţii Ordinului nr. 5/2016 privind stabilirea cotei obligatorii de achiziţie de certificate verzi, aferenta anului 2015 şi Sentinţei civile nr. 4265/10.11.2017 în ceea ce priveşte soluţia dată capătului de cerere ce vizează anularea Ordinului nr. 5/2016 privind stabilirea cotei obligatorii de achiziţie de certificate verzi, aferentă anului 2015, Înalta Curte reţine următoarele:</w:t>
      </w:r>
    </w:p>
    <w:p w14:paraId="2E9FA25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aceeaşi decizie nr. 214/7.07.2020, pronunţată în dosar nr. 3189/2/20116, Înalta Curte de Casaţie şi Justiţie a statuat în sensul că ,, soluționarea excepției tardivității acțiunii, aşa cum a fost invocată de intimata- pârâtă A.N.R.E., depinde de calificarea naturii juridice a ordinului în litigiu, mai exact a dispoziţiilor art. 1 și 2 şi a listei aferente acestuia.</w:t>
      </w:r>
    </w:p>
    <w:p w14:paraId="48684AB0" w14:textId="77777777" w:rsidR="00C252A6" w:rsidRPr="00250C7F" w:rsidRDefault="00023D86" w:rsidP="00C252A6">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Înalta Curte constată, mai întâi, că Ordinul nr. 5/2016 este emis având în vedere prevederile art. 4 alin. (9) şi ale art. 8 alin. (8) din Legea nr. 220/2008 pentru stabilirea sistemului de promovare a producerii energiei din surse regenerabile de energie, republicată, cu modificările şi completările ulterioare, precum şi ale art. 3 alin. (1) din Hotărârea Guvernului nr. 495/2014 pentru instituirea unei scheme de ajutor de stat privind exceptarea unor categorii de consumatori finali de la aplicarea Legii nr. 220/2008 pentru stabilirea sistemului de promovare a producerii energiei din surse regenerabile de energie, cu modificările şi completările ulterioare, precum şi în temeiul prevederilor art. 5 alin. (5) şi ale art. 9 alin. (1) lit. x) din Ordonanţa de urgenţă a Guvernului nr. 33/2007 privind organizarea şi funcţionarea Autorităţii Naţionale de Reglementare în Domeniul Energiei, aprobată cu modificări şi comp</w:t>
      </w:r>
      <w:r w:rsidR="00C252A6" w:rsidRPr="00250C7F">
        <w:rPr>
          <w:rFonts w:ascii="Times New Roman" w:eastAsia="Calibri" w:hAnsi="Times New Roman" w:cs="Times New Roman"/>
          <w:sz w:val="24"/>
          <w:szCs w:val="24"/>
        </w:rPr>
        <w:t>letări prin Legea nr. 160/2012.</w:t>
      </w:r>
    </w:p>
    <w:p w14:paraId="2218AE34" w14:textId="383D44A8" w:rsidR="00023D86" w:rsidRPr="00250C7F" w:rsidRDefault="00023D86" w:rsidP="00C252A6">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De asemenea, Ordinul nr. 5/2016 a fost publicat în Monitorul Oficial al României, </w:t>
      </w:r>
      <w:r w:rsidR="00C252A6" w:rsidRPr="00250C7F">
        <w:rPr>
          <w:rFonts w:ascii="Times New Roman" w:eastAsia="Calibri" w:hAnsi="Times New Roman" w:cs="Times New Roman"/>
          <w:sz w:val="24"/>
          <w:szCs w:val="24"/>
        </w:rPr>
        <w:t xml:space="preserve">     </w:t>
      </w:r>
      <w:r w:rsidRPr="00250C7F">
        <w:rPr>
          <w:rFonts w:ascii="Times New Roman" w:eastAsia="Calibri" w:hAnsi="Times New Roman" w:cs="Times New Roman"/>
          <w:sz w:val="24"/>
          <w:szCs w:val="24"/>
        </w:rPr>
        <w:t>Partea I.</w:t>
      </w:r>
    </w:p>
    <w:p w14:paraId="27DFD4BD"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Lista operatorilor economici cu obligaţie de achiziţie de CV şi numărul de CV necesare pentru îndeplinirea cotei obligatorii de CV pentru anul de analiză 2015 este emisă în baza art. 27 alin. 3 din Ordinul nr. 101 din  1 iulie 2015 pentru aprobarea Metodologiei de stabilire a cotelor anuale obligatorii de energie electrică produsă din surse regenerabile de energie care beneficiază de sistemul de promovare prin certificate verzi şi a celor de achiziţie de certificate verzi. </w:t>
      </w:r>
    </w:p>
    <w:p w14:paraId="50F113F3"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Înalta Curte reţine că Ordinul nr. 5/2016 emis de preşedintele A.N.R.E. are un caracter normativ.</w:t>
      </w:r>
    </w:p>
    <w:p w14:paraId="4B974172"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doctrina de specialitate și jurisprudența secției de specialitate a instanţei supreme,  actele administrative cu caracter individual au ca obiect soluționarea unei probleme punctuale și se adresează unui subiect determinat /unor subiecte determinate sau determinabile în procesul de aplicare a actului administrativ individual respectiv. În ceea ce privește actele administrative cu caracter normativ acestea au în vedere reglementarea unei situații/unor situații generale, iar efectele acestora se produc erga omnes/ se adresează unui număr nedeterminat de subiecți.</w:t>
      </w:r>
    </w:p>
    <w:p w14:paraId="04B6890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Nu se poate reţine că Ordinul nr. 5/2016, în concret dispoziţiile art. 1 și 2, au un grad de adresabilitate limitat; faptul că destinatarii acestuia sunt operatorii care au obligația achiziției de certificate verzi nu duce la concluzia că aceştia sunt individualizaţi şi determinaţi prin ordin.</w:t>
      </w:r>
    </w:p>
    <w:p w14:paraId="69B3D0D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Înalta Curte reţine că această determinare şi individualizare s-a produs prin emiterea Listei, care a procedat la identificarea destinatarilor finali ai Ordinului; dar cum cele două acte nu se confundă, normele cuprinse în Ordin sunt cu caracter general.</w:t>
      </w:r>
    </w:p>
    <w:p w14:paraId="325FDF9D"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pentru stabilirea caracterului normativ sau individual al unui act administrativ, nu interesează numărul concret al destinatarilor, ci modul de redactare al normei; dacă aceasta cuprinde o formulare cu caracter generic şi impersonal, adresată unor destinatari neidentificaţi expres prin norma respectivă, atunci are caracter normativ; dacă destinatarii sunt individualizaţi prin chiar actul respectiv, atunci cu siguranţă actul are caracter individual.</w:t>
      </w:r>
    </w:p>
    <w:p w14:paraId="23124827"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Nu se poate reţine că simpla stabilire a unei anumite condiţii privind destinatarii (cum ar fi aceea de a fi operatori economici cu obligaţie de achiziţie de certificate verzi) duce la stabilirea caracterului individual al actului; în general, orice act normativ are un anumit „public” căruia i se adresează, specializat în raport de specificul actului respectiv. Aşa cum a invocat şi reclamanta, gradul de generalitate al actelor administrative normative diferă, în sensul că anumite norme privesc orice persoană aflată în ţară (cum ar fi regulile privind circulaţia pe drumurile publice), iar alte norme au un obiect de reglementare mai restrâns (normele ce privesc categorii determinate de persoane); oricât de restrâns ar fi obiectul de reglementare a actelor administrative normative, acestea îşi păstrează caracterul normativ atâta timp cât subiecţii nu sunt individual determinaţi.</w:t>
      </w:r>
    </w:p>
    <w:p w14:paraId="0F66C9E7"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ceea ce priveşte cerinţa ca destinatarii actului administrativ să fie individualizaţi, simpla precizare a unei categorii de subiecte, fie ea restrânsă numeric sau chiar identificabilă în baza evidenţelor oficiale, nu este suficientă, ceea ce determină existenţa unui act administrativ cu caracter normativ.</w:t>
      </w:r>
    </w:p>
    <w:p w14:paraId="755C4C33"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Actul administrativ cu caracter normativ cuprinde reglementări cu caracter general- obligatoriu pentru un număr nedeterminat de subiecţi, determinate fiind numai criteriile pentru stabilirea sferei destinatarilor, iar nu fiecare beneficiar în parte. Pe când, actul administrativ individual se adresează unui anume destinatar sau unei pluralităţi de destinatari, determinaţi expres în conţinutul său.</w:t>
      </w:r>
    </w:p>
    <w:p w14:paraId="70E443F3"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Înalta Curte reţine, astfel, caracterul de act normativ al ordinului atacat, pentru că acesta nu individualizează expres destinatarii săi; calitatea de operator economic cu obligaţie de achiziţie de certificate verzi rezultă din prevederile Legii nr. 220/2008 şi este o vocaţie generală pe care o poate avea orice agent economic ce alege acest obiect de activitate, atâta timp cât deţine autorizările prevăzute de lege. Ordinul nr. 5/2016 este un act administrativ cu caracter normativ, emis de o autoritate publică, în regim de putere publică, în vederea executării în concret a legii, respectiv a art. 4 alin. 4 din Legea nr. 220/2008.</w:t>
      </w:r>
    </w:p>
    <w:p w14:paraId="000FB233"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Un argument suplimentar al caracterului normativ al acestuia este publicarea acestuia în Monitorul Oficial, conform art. 5 alin. 5 din Ordonanţa de Urgenţă nr. 33/2007, temei de drept invocat în preambulul Ordinului nr. 5/2016. Acest temei se coroborează cu art.  11 alin. 1 din Legea nr. 24/2000. Astfel, aplicând argumentul per a contrario, dacă Ordinul nr. 5/2016 ar fi fost un act administrativ cu caracter individual, nu ar exista nici un temei legal pentru ca acesta să fi fost publicat în Monitorul Oficial.</w:t>
      </w:r>
    </w:p>
    <w:p w14:paraId="7533F7C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Deopotrivă, Înalta Curte consideră că sfera persoanelor afectate de prevederile actului administrativ în discuţie şi în privinţa cărora acesta produce efecte juridice nu poate include orice consumator de energie electrică, inclusiv, cei casnici. Faptul că aceşti consumatori casnici suportă unele consecinţe ale acestui ordin nu îi transformă în destinatari ai actului, deoarece, lor nu li se naşte nici obligaţie prin acest ordin; obligaţia de plată a facturii aferente serviciilor de furnizare a energiei electrice se naşte din contractul încheiat de fiecare consumator casnic cu furnizorul, iar nu din acest ordin.</w:t>
      </w:r>
    </w:p>
    <w:p w14:paraId="65B6C39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Nu poate fi primit nici argumentul intimatei- pârâte, în sensul că Ordinul nr. 5/2016 nu produce efecte erga omnes, ci produce efecte exclusiv faţă de persoanele nominalizate expres la art. 2 din acest act şi în Lista emisă conform art. 27 alin. 3 din Metodologie, întrucât, încadrarea unui act infralegislativ într-una dintre cele două categorii: acte individuale sau normative, nu se realizează prin „decuparea” unor dispoziţii din acel act, afectând în acest mod caracterul unitar al acestuia, ci prin examinarea integrală a conţinutului său, prin prisma trăsăturilor fiecăreia dintre categoriile în discuţie. Cu alte cuvinte, un act administrativ este fie normativ, fie individual, în funcţie de întinderea efectelor juridice pe care le produce, indiferent de conţinutul concret al unei anexe a acelui act, cum este cazul în speţă.,,</w:t>
      </w:r>
    </w:p>
    <w:p w14:paraId="2F7BA951"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Cu privire la natura normativă a Ordinului nr. 5/26.02.2016 s-a pronunţat Înalta Curte de Casaţie şi Justiţie şi prin decizia nr. 3913/24.07.2020, în dosar nr. 7318/2/2016, prin care a respins recursul formulat de pârâta Autoritatea Naţională de Reglementare în Domeniul Energiei împotriva Încheierii din 17 martie 2017 şi a Sentinţei civile nr. 2558 din 23 iunie 2017 ale Curţii de Apel Bucureşti – Secţia a VIII-a contencios administrativ şi fiscal ca nefondat.</w:t>
      </w:r>
    </w:p>
    <w:p w14:paraId="361B5A40"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respectivul dosar, Înalta Curte a validat considerentele instanţei de fond în ceea ce priveşte caracterul normativ al actului administrativ contestat astfel:</w:t>
      </w:r>
    </w:p>
    <w:p w14:paraId="52620A36" w14:textId="14B0DC00" w:rsidR="00023D86" w:rsidRPr="00250C7F" w:rsidRDefault="00B940E9"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w:t>
      </w:r>
      <w:r w:rsidR="00023D86" w:rsidRPr="00250C7F">
        <w:rPr>
          <w:rFonts w:ascii="Times New Roman" w:eastAsia="Calibri" w:hAnsi="Times New Roman" w:cs="Times New Roman"/>
          <w:sz w:val="24"/>
          <w:szCs w:val="24"/>
        </w:rPr>
        <w:t>Înalta Curte reţine că Ordinul nr. 5/2016 emis de Preşedintele A.N.R.E. este un act cu caracter normativ, astfel cum această noțiune este definită în doctrină și jurisprudență, în sensul că este vorba de acte administrative care vizează reglementarea unei situații/unor situații generale, iar efectele acestora se produc erga omnes, respectiv, se adresează unui număr nedeterminat de subiecți.</w:t>
      </w:r>
    </w:p>
    <w:p w14:paraId="162EA5F7"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Or, nu se poate reţine că Ordinul nr. 5/2016 are un grad de adresabilitate limitat; faptul că destinatarii acestuia sunt operatorii care au obligația achiziției de certificate verzi nu conduce la concluzia că aceştia sunt individualizaţi şi determinaţi prin ordin. </w:t>
      </w:r>
    </w:p>
    <w:p w14:paraId="16A1C13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Această determinare şi individualizare s-a produs abia prin emiterea Listei operatorilor economici cu obligaţie de achiziţie de CV şi numărul de CV necesare pentru îndeplinirea cotei obligatorii de CV pentru anul de analiză 2015, listă emisă în baza art.27 alin.3 din Ordinul nr.101/2015 pentru aprobarea Metodologiei de stabilire a cotelor anuale obligatorii de energie electrică produsă din surse regenerabile de energie care beneficiază de sistemul de promovare prin certificate verzi şi a celor de achiziţie de certificate verzi. Doar Lista în discuţie a realizat </w:t>
      </w:r>
      <w:r w:rsidRPr="00250C7F">
        <w:rPr>
          <w:rFonts w:ascii="Times New Roman" w:eastAsia="Calibri" w:hAnsi="Times New Roman" w:cs="Times New Roman"/>
          <w:sz w:val="24"/>
          <w:szCs w:val="24"/>
        </w:rPr>
        <w:lastRenderedPageBreak/>
        <w:t>identificarea destinatarilor finali ai Ordinului contestat, însă cele două acte nu se confundă, normele cuprinse în ordin păstrându-și caracterul general.</w:t>
      </w:r>
    </w:p>
    <w:p w14:paraId="567EDFB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Simpla stabilire a unei anumite condiţii privind destinatarii (cum ar fi aceea de a fi operatori economici cu obligaţie de achiziţie de certificate verzi) nu determină caracterul individual al actului.</w:t>
      </w:r>
    </w:p>
    <w:p w14:paraId="5C59E6F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Înalta Curte reţine caracterul de act normativ al ordinului atacat, pentru că acesta nu individualizează expres destinatarii săi; calitatea de operator economic cu obligaţie de achiziţie de certificate verzi rezultă din prevederile Legii nr. 220/2008 şi este o vocaţie generală pe care o poate avea orice agent economic ce alege acest obiect de activitate, atât timp cât deţine autorizările prevăzute de lege. </w:t>
      </w:r>
    </w:p>
    <w:p w14:paraId="7FFE905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Ordinul nr. 5/2016 este un act administrativ cu caracter normativ, emis de o autoritate publică, în regim de putere publică, în vederea executării în concret a legii, respectiv a art. 4 alin. 4 din Legea nr. 220/2008.</w:t>
      </w:r>
    </w:p>
    <w:p w14:paraId="63F4F236"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Un argument suplimentar al caracterului normativ al acestuia este și publicarea acestuia în Monitorul Oficial, conform art.5 alin.5 din OUG nr. 33/2007,  invocat de altfel ca temei de drept în preambulul Ordinului nr. 5/2016 și care se coroborează cu prevederile art.11 alin.1 din Legea nr.24/2000, în conformitate cu care actele normative sunt supuse acestei publicări, iar nu și cele cu caracter individual, care trebuie notificate fiecărui destinatar.</w:t>
      </w:r>
    </w:p>
    <w:p w14:paraId="46FCE4E6"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Deopotrivă, Înalta Curte consideră că sfera persoanelor afectate de prevederile actului administrativ în discuţie şi în privinţa cărora acesta produce efecte juridice nu poate include orice consumator de energie electrică, inclusiv, cei casnici, întrucât faptul că aceşti consumatori casnici suportă unele consecinţe ale acestui ordin nu îi transformă în destinatari ai actului, deoarece în sarcina lor nu se naşte niciun drept sau obligaţie prin acest ordin, obligaţia de plată a facturii aferente serviciilor de furnizare a energiei electrice născându-se din contractul de furnizare încheiat de fiecare consumator casnic cu furnizorul.</w:t>
      </w:r>
    </w:p>
    <w:p w14:paraId="6EE618E1"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Nu poate fi primit nici argumentul recurentei pârâte în sensul că Ordinul nr. 5/2016 nu produce efecte erga omnes, ci exclusiv faţă de persoanele nominalizate expres la art.2 din acest act şi în Lista emisă conform art.27 alin.3 din Metodologie, întrucât încadrarea unui act infralegislativ ca act individual sau normativ se realizează prin examinarea integrală a conţinutului său, prin prisma trăsăturilor specifice fiecăreia dintre categoriile de acte administrative, actul fiind fie normativ, fie individual, în funcţie de întinderea efectelor juridice pe care le produce și  indiferent de conţinutul concret al unei eventuale anexe a acelui act.</w:t>
      </w:r>
    </w:p>
    <w:p w14:paraId="0C555AF7"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condiţiile în care prevederile art.5 alin.7 din O.U.G. nr. 33/2007 privind organizarea şi funcţionarea Autorităţii Naţionale de Reglementare în Domeniul Energiei, prin care se stabileşte un termen pentru atacarea în contencios administrativ a actelor administrative cu caracter normativ emise de preşedintele A.N.R.E. în exercitarea atribuţiilor sale, au fost declarate neconstituționale, şi luând în considerare specificul actelor emise în această procedură, precum şi lipsa unei reglementări care să pună legea în acord cu decizia Curţii Constituţionale, devine aplicabil principiul prevăzut de art.5 alin.3 din Codul de procedură civilă, referitor la judecarea pricinilor potrivit dispozițiilor edictate pentru instituția juridică cea mai apropiată, în speță, a regimului juridic aplicabil acțiunii în contencios administrativ exercitate conform art.11 alin.4 din Legea nr.554/2004.,, </w:t>
      </w:r>
    </w:p>
    <w:p w14:paraId="418F6682" w14:textId="3333D974"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De asemenea, Înalta Curte a validat considerentele instanţei de fond - Curtea</w:t>
      </w:r>
      <w:r w:rsidR="00C252A6" w:rsidRPr="00250C7F">
        <w:rPr>
          <w:rFonts w:ascii="Times New Roman" w:eastAsia="Calibri" w:hAnsi="Times New Roman" w:cs="Times New Roman"/>
          <w:sz w:val="24"/>
          <w:szCs w:val="24"/>
        </w:rPr>
        <w:t xml:space="preserve"> de Apel Bucureşti, menţionate </w:t>
      </w:r>
      <w:r w:rsidRPr="00250C7F">
        <w:rPr>
          <w:rFonts w:ascii="Times New Roman" w:eastAsia="Calibri" w:hAnsi="Times New Roman" w:cs="Times New Roman"/>
          <w:sz w:val="24"/>
          <w:szCs w:val="24"/>
        </w:rPr>
        <w:t>prin sentinţa nr. 2558/23.06.2017, vizând viciile de nelegalitate a Ordinului:</w:t>
      </w:r>
    </w:p>
    <w:p w14:paraId="355C6C95" w14:textId="2B3E47DB"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,,Prin Ordinul nr.5/2016, ANRE a stabilit cota finală obligatorie de achiziţie de certificate verzi pentru anul 2015, luând în calcul un consum exceptat raportat la datele de emitere a acordurilor de exceptare în primul an de implementare a schemei de sprijin.</w:t>
      </w:r>
    </w:p>
    <w:p w14:paraId="35BE646D"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Stabilirea acestei cote anuale obligatorii de achiziţie de certificate verzi (stabilite procentual ca fiind raportul dintre numărul de certificate verzi emise şi consumul final de energie electrică realizat, diminuat cu consumul final exceptat) a fost influenţată de valoarea mai mică a consumului exceptat, în sensul că a fost mult mai mică decât dacă valoarea consumului exceptat era calculată prin raportare la întreg anul 2015, în acord cu actul normativ de rang superior în forma în vigoare atât la data cererii de exceptare, cât şi la data emiterii acordului de exceptare pentru intimata reclamantă. </w:t>
      </w:r>
    </w:p>
    <w:p w14:paraId="641F6A55"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Efectul vătămător la adresa intimatei-reclamante nu rezultă direct din cota anuală obligatorie de achiziţie, ci din stabilirea acesteia pe baza unei valori mai mici a consumului exceptat, care se corelează cu o valoare mai mare a consumului neexceptat, pentru care se menţine obligaţia de achiziţie de certificate verzi. Există, astfel, o strânsă interdependenţă între cota anuală obligatorie de achiziţie de certificate verzi şi consumul neexceptat, datorită împrejurării că, în formula de calcul a cotei, un element îl reprezintă consumul exceptat.</w:t>
      </w:r>
    </w:p>
    <w:p w14:paraId="243F3CAF"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urmare, Înalta Curte reţine că ordinul contestat, ca act de punere în aplicare a normei din art.3 alin.(1) al HG nr.495/2014, la nivelul anului 2015, este nelegal, aducând atingere principiului securităţii juridice şi restrângând nejustificat drepturile câştigate ale intimatei reclamante, în condiţiile în care acordul era reglementat ca act administrativ care doar constata îndeplinirea condiţiilor de eligibilitate pentru acordarea ajutorului de stat, efectele sale fiind cele reglementate de HG nr. 495/2014.</w:t>
      </w:r>
    </w:p>
    <w:p w14:paraId="2907DE71"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Potrivit art.8 alin.(8) din Legea nr.220/2008, întregul mecanism de exceptare, ca şi cantitatea exceptată şi formula de calcul au fost lăsate în câmpul de normare al hotărârii de guvern care aprobă schema de sprijin notificată Comisiei Europene şi autorizată de aceasta.</w:t>
      </w:r>
    </w:p>
    <w:p w14:paraId="2DED58DD"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Exceptarea este prevăzută de lege procentual, raportat la cantitatea de anergie furnizată şi care intră sub efectele acordului de exceptare, în condiţiile legii.</w:t>
      </w:r>
    </w:p>
    <w:p w14:paraId="0576D887"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Așa cum se arată expres în preambulul său, Ordinul nr.5/2016, contestat în speță, a fost emis la data de 26.02.2016 în aplicarea în concret a prevederilor legale mai sus menționate și a art.3 alin.(1) din HG nr.495/2014, în conformitate cu care ”Exceptarea prevăzută la art.1 alin.(1) se aplică la cota obligatorie de achiziție de certificate verzi care se aplică furnizorilor de energie, comunicată de ANRE, începând cu anul în care a fost obținut acordul de exceptare. Respectiva exceptare nu afectează calculul privind atingerea obiectivului național prevăzut la art.5 alin.(1) din Legea nr. 220/2008, republicată, cu modificările și completările ulterioare, în consumul final brut de energie al anului 2020.</w:t>
      </w:r>
    </w:p>
    <w:p w14:paraId="3B5D560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 Or, în speţă, valoarea diminuată a consumului exceptat nu a fost stabilită prin hotărârea de guvern menţionată, ci prin Ordinul nr.5/2016.,,</w:t>
      </w:r>
    </w:p>
    <w:p w14:paraId="06BA6A72"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Efectul pozitiv al lucrului judecat prin sentinţa nr. 2558/2017 a Curţii de Apel Bucureşti, definitivă, se impune a fi reţinut şi în prezenta cauză, dat fiind obiectul identic, în ceea ce priveşte solicitarea de anulare a Ordinului ANRE nr. 5/2016.</w:t>
      </w:r>
    </w:p>
    <w:p w14:paraId="38923C5B" w14:textId="4775AC9F" w:rsidR="00023D86" w:rsidRPr="00250C7F" w:rsidRDefault="00C04E91"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 </w:t>
      </w:r>
      <w:r w:rsidR="00023D86" w:rsidRPr="00250C7F">
        <w:rPr>
          <w:rFonts w:ascii="Times New Roman" w:eastAsia="Calibri" w:hAnsi="Times New Roman" w:cs="Times New Roman"/>
          <w:sz w:val="24"/>
          <w:szCs w:val="24"/>
        </w:rPr>
        <w:t xml:space="preserve">Potrivit art. 431 alin. 2 C. proc. civ.: „Oricare dintre părţi poate opune lucrul anterior judecat într-un alt litigiu, dacă are legătură cu soluţionarea acestuia din urmă". După cum s-a arătat în doctrină, efectele autorităţii de lucru judecată prezintă, pe lângă efectul negativ, peremptoriu, manifestat prin excepţia autorităţii de lucru judecat şi un aspect pozitiv pentru partea </w:t>
      </w:r>
      <w:r w:rsidR="00023D86" w:rsidRPr="00250C7F">
        <w:rPr>
          <w:rFonts w:ascii="Times New Roman" w:eastAsia="Calibri" w:hAnsi="Times New Roman" w:cs="Times New Roman"/>
          <w:sz w:val="24"/>
          <w:szCs w:val="24"/>
        </w:rPr>
        <w:lastRenderedPageBreak/>
        <w:t xml:space="preserve">care a câştigat procesul, în sensul că aceasta se poate prevala într-o nouă judecată de dreptul recunoscut printr-o hotărâre judecătorească. </w:t>
      </w:r>
    </w:p>
    <w:p w14:paraId="5D223796"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Altfel spus, efectul pozitiv al lucrului judecat se impune într-un al doilea proces care are legătură cu chestiunea litigioasă dezlegată anterior, fără posibilitatea de a mai fi contrazis. Reglementarea puterii de lucru judecat sub forma efectului pozitiv vine să asigure, din nevoia de ordine şi stabilitate juridică, evitarea contrazicerii considerentele hotărârilor judecătoreşti.</w:t>
      </w:r>
    </w:p>
    <w:p w14:paraId="04BB6F1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jurisprudenţa CEDO s-a arătat că „Principiul securităţii raporturilor juridice impune ca atunci când o contestaţie civilă este analizată pe fond, ar trebui decisă o dată pentru totdeauna.,</w:t>
      </w:r>
    </w:p>
    <w:p w14:paraId="25A20AB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Trebuie subliniat că „problema soluţionată", nu este numai problema de fond tranşată în hotărâre (de regulă în dispozitiv), ci şi problemele a căror rezolvare, de regulă dată în considerente sprijină soluţia din dispozitiv. Altfel spus, chiar şi considerentele unei hotărâri pot prezenta putere de lucru judecat în măsura în care soluţionează anumite probleme necesare pentru dezlegarea cauzei.</w:t>
      </w:r>
    </w:p>
    <w:p w14:paraId="5481F941"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Conform jurisprudenţei CEDO există putere de lucru judecat şi atunci când părţile al doilea proces sunt diferite de cele din primul proces.</w:t>
      </w:r>
    </w:p>
    <w:p w14:paraId="1944063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Este necontestat faptul că dosarul 7318/2/201JS a avut ca obiect inclusiv o cerere de anulare a Ordinului ANRE nr. 5/2016, cerere care a şi fost admisă, hotărârea rămânând definitivă. Pe cale de consecinţă, instanţa învestită cu soluţionarea prezentei cauze trebuie să ţină seama de faptul că Ordinul ANRE nr. 5/2016, act administrativ normativ, este nelegal, fapt stabilit deja în mod definitiv.</w:t>
      </w:r>
    </w:p>
    <w:p w14:paraId="61AFFA8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Nu în ultimul rând trebuie avute în vedere prevederile art. 23 din Legea nr. 554/2004: „Hotărârile judecătoreşti definitive prin care s-a anulat în tot sau în parte un act administrativ cu caracter normativ sunt general obligatorii şi au putere numai pentru viitor. Acestea se publică obligatoriu după motivare, la solicitarea instanţelor, în Monitorul Oficial al României, Partea I, sau, după caz, în monitoarele oficiale ale judeţelor ori al municipiului Bucureşti, fiind scutite de plata taxelor de publicare.,,</w:t>
      </w:r>
    </w:p>
    <w:p w14:paraId="372BA307"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Dat fiind caracterul de act normativ al Ordinului nr. 5/2016 şi faptul că hotărârea de anulare se publică în Monitorul Oficial, soluţia menţionată produce efectele juridice invocate de către recurenta-reclamantă A S.A în sensul lipsirii de interes a recursului declarat de pârâta Autoritatea Naţională de Reglementare în Domeniul Energiei</w:t>
      </w:r>
    </w:p>
    <w:p w14:paraId="201A190A"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6.3. În ceea ce priveşte recursurile principal şi incident, declarate de reclamanta A S.A. împotriva încheierii din 17 februarie 2017 şi împotriva sentintei nr. 4265 din 10 noiembrie 2017, acestea au fost întemeiate pe dispoziţiile art. 488 pct. 8 Cod proced. civilă.</w:t>
      </w:r>
    </w:p>
    <w:p w14:paraId="243F51C7"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doctrină s-a arătat că hotărârea a fost dată cu aplicarea greşită a legii atunci când instanţa a recurs la textele de lege aplicabile speţei dar, fie nu le-a aplicat în litera sau spiritul lor, fie le-a aplicat greşit. </w:t>
      </w:r>
      <w:r w:rsidRPr="00250C7F">
        <w:rPr>
          <w:rFonts w:ascii="Times New Roman" w:eastAsia="Calibri" w:hAnsi="Times New Roman" w:cs="Times New Roman"/>
          <w:sz w:val="24"/>
          <w:szCs w:val="24"/>
        </w:rPr>
        <w:tab/>
      </w:r>
    </w:p>
    <w:p w14:paraId="2C30FB2A"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Pentru a fi incident motivul de casare prevăzut de art. 488 alin.1 pct. 8 din Codul de procedură civilă, nu este suficient ca recurenta să facă trimitere, în mod formal, la sediul materiei unde este reglementată problema de drept ce trebuie soluționată de instanța de recurs, ci trebuie, totodată, ca motivul invocat să se refere la un viciu de legalitate a hotărârii recurate, nu la un aspect de temeinicie a acesteia. </w:t>
      </w:r>
    </w:p>
    <w:p w14:paraId="6E2032C0"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Înalta Curte reţine că reclamanta critică susţinerea instanţei de fond, conform căreia Lista operatorilor economici cu obligarea de achiziţie certificate verzi şi numărul de certificate verzi necesare pentru îndeplinirea cotei obligatorii de achiziţie de certificate verzi pentru anul 2015 </w:t>
      </w:r>
      <w:r w:rsidRPr="00250C7F">
        <w:rPr>
          <w:rFonts w:ascii="Times New Roman" w:eastAsia="Calibri" w:hAnsi="Times New Roman" w:cs="Times New Roman"/>
          <w:sz w:val="24"/>
          <w:szCs w:val="24"/>
        </w:rPr>
        <w:lastRenderedPageBreak/>
        <w:t xml:space="preserve">publicată pentru site-ul ANRE la 02.03.2016 este un act administrativ individual, ce nu a fost atacată în termenul legal prevăzut de art. 5 alin. (7) din O.U.G. nr. 33/2007. </w:t>
      </w:r>
    </w:p>
    <w:p w14:paraId="6447EE4D" w14:textId="4D939688"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Arată că acestă listă este un act administrativ normativ, destinatarii ei fiind nu doar furnizorii de energie electrică nominalizaţi în cuprinsul listei, ci şi toţi consumatorii finali cărora furnizorul de energie le facturează cota parte de certificate verzi aferentă can</w:t>
      </w:r>
      <w:r w:rsidR="005622DC">
        <w:rPr>
          <w:rFonts w:ascii="Times New Roman" w:eastAsia="Calibri" w:hAnsi="Times New Roman" w:cs="Times New Roman"/>
          <w:sz w:val="24"/>
          <w:szCs w:val="24"/>
        </w:rPr>
        <w:t>tităţii de energie consumată. I</w:t>
      </w:r>
      <w:r w:rsidRPr="00250C7F">
        <w:rPr>
          <w:rFonts w:ascii="Times New Roman" w:eastAsia="Calibri" w:hAnsi="Times New Roman" w:cs="Times New Roman"/>
          <w:sz w:val="24"/>
          <w:szCs w:val="24"/>
        </w:rPr>
        <w:t>nstanţa de fond a reţinut în mod greşit depăşirea termenului de 30 zile pentru atacarea actului, termen care curge de la data publicării actelor în Monitorul Oficial, respectiv de la data la care actele au fost notificate părţilor interesate. Această listă nu a fost publicată în Monitorul Oficial şi nici notificată părţii interesate, astfel că reclamanta a fost în imposibilitate de a ataca acest act administrativ.</w:t>
      </w:r>
    </w:p>
    <w:p w14:paraId="368DF83C"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Înalta Curte va înlătura aceste susţineri ale recurentei reclamante, validând reţinerile instanţei de fond, cuprinse în încheierea din 17.02.2017, în sensul că Lista operatorilor economici cu obligaţie de achiziţie de CV şi numărul de CV necesare pentru îndeplinirea cotei obligatorii de CV pentru anul de analiză 2015,  emisă în baza art. 27 alin. 3 din Ordinul nr. 101 din  1 iulie 2015 pentru aprobarea Metodologiei de stabilire a cotelor anuale obligatorii de energie electrică produsă din surse regenerabile de energie care beneficiază de sistemul de promovare prin certificate verzi şi a celor de achiziţie de certificate verzi, publicată pe site-ul pârâtei la data de 02.03.2016, este o anexă a ordinului,  emisă în termen de 3 zile lucrătoare de la data intrării în vigoare a ordinului ANRE, nesupusă publicării în Monitorul Oficial şi cuprinzând efectiv o enumerare a operatorilor economici cu obligaţie de achiziţie de CV şi numărul de CV necesare pentru îndeplinirea cotei obligatorii de achiziţie de CV pentru anul de analiză 2015.</w:t>
      </w:r>
    </w:p>
    <w:p w14:paraId="7F78DDB9"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tabelul cu operatorii economici care au obligaţia de achiziţie certificate verzi pentru îndeplinirea cotei obligatorii aprobată prin Ordinul nr. 5/2016  nu poate fi încadrată în categoria actelor administrative normative, cum greşit susţine reclamanta.</w:t>
      </w:r>
    </w:p>
    <w:p w14:paraId="5ADF10CB"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Pe de altă parte, trebuie subliniat faptul că, în fapt, lista, anexă a Ordinului,  nu poate avea o existenţă de sine stătătoare atât timp cât ordinul A.N.R.E. nr. 5/2016 a fost anulat, între cele două acte existând evident o legătură de subsecvenţialitate.</w:t>
      </w:r>
    </w:p>
    <w:p w14:paraId="3A942F10"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Aşadar, nu pot subzista măsurile dispuse în temeiul unui ordin anulat, impunând-se a se da eficienţă efectelor hotărârii judecătoreşti de anulare a acestuia.</w:t>
      </w:r>
    </w:p>
    <w:p w14:paraId="61DE4131" w14:textId="0F5776ED"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7.</w:t>
      </w:r>
      <w:r w:rsidR="00D2378A" w:rsidRPr="00250C7F">
        <w:rPr>
          <w:rFonts w:ascii="Times New Roman" w:eastAsia="Calibri" w:hAnsi="Times New Roman" w:cs="Times New Roman"/>
          <w:sz w:val="24"/>
          <w:szCs w:val="24"/>
        </w:rPr>
        <w:t xml:space="preserve"> </w:t>
      </w:r>
      <w:r w:rsidRPr="00250C7F">
        <w:rPr>
          <w:rFonts w:ascii="Times New Roman" w:eastAsia="Calibri" w:hAnsi="Times New Roman" w:cs="Times New Roman"/>
          <w:sz w:val="24"/>
          <w:szCs w:val="24"/>
        </w:rPr>
        <w:t>Temeiurile de drept ale soluţiei pronunţate în recurs</w:t>
      </w:r>
    </w:p>
    <w:p w14:paraId="2677E07A"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Pentru considerentele expuse, în temeiul dispoziţiilor art. 20 alin. (3) din Legea contenciosului administrativ nr. 554/2004, cu modificările şi completările ulterioare, coroborat cu art. 496 alin. (1) şi (2) şi art. 497 Cod de procedură civilă, Înalta Curte a respins recursul principal şi recursul incident declarate de reclamanta A S.A. împotriva încheierii din 17 februarie 2017 şi împotriva sentintei nr. 4265 din 10 noiembrie 2017, ambele pronunţate de  Curtea de Apel Bucureşti - Secţia a VIII-a  contencios administrativ şi fiscal, ca nefondate.</w:t>
      </w:r>
    </w:p>
    <w:p w14:paraId="5FEB5C7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admis excepţia lipsei de interes în susţinerea recursului declarat de pârâta Autoritatea Naţională de Reglementare în Domeniul Energiei, invocată de recurenta-reclamantă A S.A şi a respins recursul declarat de pârâta Autoritatea Naţională de Reglementare în Domeniul Energiei împotriva aceloraşi hotărâri, ca fiind lipsit de interes.</w:t>
      </w:r>
    </w:p>
    <w:p w14:paraId="6347519E"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admis recursul incident declarat de pârâtul Operatorul Pieţei de Energie Electrică şi Gaze Naturale - OPCOM - S.A. împotriva încheierii din 17 februarie 2017 şi împotriva  sentintei nr. 4265 din 10 noiembrie 2017 ambele pronunţate de Curtea de Apel Bucureşti - Secţia a VIII-a  contencios administrativ şi fiscal.</w:t>
      </w:r>
    </w:p>
    <w:p w14:paraId="4212F510"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A casat, în parte, încheierea şi sentinţa recurate şi, rejudecând:</w:t>
      </w:r>
    </w:p>
    <w:p w14:paraId="6C503868"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A admis excepţia lipsei calităţii procesuale pasive a Operatorului Pieţei de Energie Electrică şi Gaze Naturale - OPCOM - S.A. </w:t>
      </w:r>
    </w:p>
    <w:p w14:paraId="5C90E690" w14:textId="77777777" w:rsidR="00023D86" w:rsidRPr="00250C7F" w:rsidRDefault="00023D86" w:rsidP="00A71721">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respins acţiunea formulată de reclamanta A S.A. în contradictoriu cu pârâtul Operatorul Pieţei de Energie Electrică şi Gaze Naturale - OPCOM - S.A., ca fiind introdusă împotriva unei persoane lipsite de calitate procesuală pasivă.</w:t>
      </w:r>
    </w:p>
    <w:p w14:paraId="3DEA1B06" w14:textId="08C8B94A" w:rsidR="00023D86" w:rsidRDefault="00023D86" w:rsidP="00332ED0">
      <w:pPr>
        <w:spacing w:after="0" w:line="276" w:lineRule="auto"/>
        <w:ind w:right="-2"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menţinut restul dispoziţiilor încheierii şi sentinţei.</w:t>
      </w:r>
    </w:p>
    <w:p w14:paraId="17790D99" w14:textId="77777777" w:rsidR="005622DC" w:rsidRPr="00250C7F" w:rsidRDefault="005622DC" w:rsidP="00332ED0">
      <w:pPr>
        <w:spacing w:after="0" w:line="276" w:lineRule="auto"/>
        <w:ind w:right="-2" w:firstLine="720"/>
        <w:jc w:val="both"/>
        <w:rPr>
          <w:rFonts w:ascii="Times New Roman" w:eastAsia="Calibri" w:hAnsi="Times New Roman" w:cs="Times New Roman"/>
          <w:sz w:val="24"/>
          <w:szCs w:val="24"/>
        </w:rPr>
      </w:pPr>
    </w:p>
    <w:p w14:paraId="07C1D4B2" w14:textId="1A2A7B87" w:rsidR="00332ED0" w:rsidRPr="00250C7F" w:rsidRDefault="00332ED0" w:rsidP="00332ED0">
      <w:pPr>
        <w:spacing w:after="0"/>
        <w:rPr>
          <w:rFonts w:ascii="Times New Roman" w:hAnsi="Times New Roman" w:cs="Times New Roman"/>
          <w:b/>
          <w:bCs/>
        </w:rPr>
      </w:pPr>
    </w:p>
    <w:p w14:paraId="789808FF" w14:textId="21210A95" w:rsidR="002F0359" w:rsidRPr="00250C7F" w:rsidRDefault="00DE0C2D" w:rsidP="00332ED0">
      <w:pPr>
        <w:pStyle w:val="Heading3"/>
        <w:spacing w:before="0" w:line="276" w:lineRule="auto"/>
        <w:ind w:right="-2"/>
        <w:jc w:val="both"/>
        <w:rPr>
          <w:rFonts w:ascii="Times New Roman" w:hAnsi="Times New Roman" w:cs="Times New Roman"/>
          <w:b/>
          <w:color w:val="auto"/>
          <w:shd w:val="clear" w:color="auto" w:fill="FFFFFF"/>
        </w:rPr>
      </w:pPr>
      <w:bookmarkStart w:id="4" w:name="_Toc84584797"/>
      <w:r w:rsidRPr="00250C7F">
        <w:rPr>
          <w:rFonts w:ascii="Times New Roman" w:hAnsi="Times New Roman" w:cs="Times New Roman"/>
          <w:b/>
          <w:bCs/>
          <w:color w:val="auto"/>
        </w:rPr>
        <w:t>2</w:t>
      </w:r>
      <w:r w:rsidR="00AC757B" w:rsidRPr="00250C7F">
        <w:rPr>
          <w:rFonts w:ascii="Times New Roman" w:hAnsi="Times New Roman" w:cs="Times New Roman"/>
          <w:b/>
          <w:bCs/>
          <w:color w:val="auto"/>
        </w:rPr>
        <w:t xml:space="preserve">. </w:t>
      </w:r>
      <w:r w:rsidR="00EF5583" w:rsidRPr="00250C7F">
        <w:rPr>
          <w:rFonts w:ascii="Times New Roman" w:hAnsi="Times New Roman" w:cs="Times New Roman"/>
          <w:b/>
          <w:bCs/>
          <w:color w:val="auto"/>
        </w:rPr>
        <w:t xml:space="preserve">Controlul de legalitate exercitat de Consiliul UNBR asupra hotărârilor consiliilor barourilor. </w:t>
      </w:r>
      <w:r w:rsidR="00891584" w:rsidRPr="00250C7F">
        <w:rPr>
          <w:rFonts w:ascii="Times New Roman" w:hAnsi="Times New Roman" w:cs="Times New Roman"/>
          <w:b/>
          <w:bCs/>
          <w:color w:val="auto"/>
        </w:rPr>
        <w:t>Contestaţie formulată de președintele UNBR împotriva unei hotărâri emise de consiliul unui barou județean având ca obiect analiza stării de incompat</w:t>
      </w:r>
      <w:r w:rsidR="008E5E9D">
        <w:rPr>
          <w:rFonts w:ascii="Times New Roman" w:hAnsi="Times New Roman" w:cs="Times New Roman"/>
          <w:b/>
          <w:bCs/>
          <w:color w:val="auto"/>
        </w:rPr>
        <w:t>i</w:t>
      </w:r>
      <w:r w:rsidR="00891584" w:rsidRPr="00250C7F">
        <w:rPr>
          <w:rFonts w:ascii="Times New Roman" w:hAnsi="Times New Roman" w:cs="Times New Roman"/>
          <w:b/>
          <w:bCs/>
          <w:color w:val="auto"/>
        </w:rPr>
        <w:t xml:space="preserve">bilitate. Admisibilitate. </w:t>
      </w:r>
      <w:r w:rsidR="00EF5583" w:rsidRPr="00250C7F">
        <w:rPr>
          <w:rFonts w:ascii="Times New Roman" w:hAnsi="Times New Roman" w:cs="Times New Roman"/>
          <w:b/>
          <w:bCs/>
          <w:color w:val="auto"/>
        </w:rPr>
        <w:t xml:space="preserve"> </w:t>
      </w:r>
      <w:r w:rsidR="00891584" w:rsidRPr="00250C7F">
        <w:rPr>
          <w:rFonts w:ascii="Times New Roman" w:hAnsi="Times New Roman" w:cs="Times New Roman"/>
          <w:b/>
          <w:bCs/>
          <w:color w:val="auto"/>
        </w:rPr>
        <w:t>Inexist</w:t>
      </w:r>
      <w:r w:rsidR="005A7DDC">
        <w:rPr>
          <w:rFonts w:ascii="Times New Roman" w:hAnsi="Times New Roman" w:cs="Times New Roman"/>
          <w:b/>
          <w:bCs/>
          <w:color w:val="auto"/>
        </w:rPr>
        <w:t>e</w:t>
      </w:r>
      <w:r w:rsidR="00891584" w:rsidRPr="00250C7F">
        <w:rPr>
          <w:rFonts w:ascii="Times New Roman" w:hAnsi="Times New Roman" w:cs="Times New Roman"/>
          <w:b/>
          <w:bCs/>
          <w:color w:val="auto"/>
        </w:rPr>
        <w:t>nța unei stări de incompatibilitate, în sensul art. 15 alin. (1) lit. a) din Legea nr. 51/1995, între calitatea de magistrat suspendat</w:t>
      </w:r>
      <w:r w:rsidR="00EF5583" w:rsidRPr="00250C7F">
        <w:rPr>
          <w:rFonts w:ascii="Times New Roman" w:hAnsi="Times New Roman" w:cs="Times New Roman"/>
          <w:b/>
          <w:bCs/>
          <w:color w:val="auto"/>
        </w:rPr>
        <w:t xml:space="preserve"> </w:t>
      </w:r>
      <w:r w:rsidR="00891584" w:rsidRPr="00250C7F">
        <w:rPr>
          <w:rFonts w:ascii="Times New Roman" w:hAnsi="Times New Roman" w:cs="Times New Roman"/>
          <w:b/>
          <w:bCs/>
          <w:color w:val="auto"/>
        </w:rPr>
        <w:t>și cea de avocat</w:t>
      </w:r>
      <w:r w:rsidR="00AC757B" w:rsidRPr="00250C7F">
        <w:rPr>
          <w:rFonts w:ascii="Times New Roman" w:hAnsi="Times New Roman" w:cs="Times New Roman"/>
          <w:b/>
          <w:color w:val="auto"/>
          <w:shd w:val="clear" w:color="auto" w:fill="FFFFFF"/>
        </w:rPr>
        <w:t>.</w:t>
      </w:r>
      <w:bookmarkEnd w:id="4"/>
    </w:p>
    <w:p w14:paraId="074E9A63" w14:textId="77777777" w:rsidR="00A9433C" w:rsidRPr="00250C7F" w:rsidRDefault="00A9433C" w:rsidP="00A71721">
      <w:pPr>
        <w:spacing w:after="0" w:line="240" w:lineRule="auto"/>
        <w:ind w:right="-2"/>
      </w:pPr>
    </w:p>
    <w:p w14:paraId="6695D6D9" w14:textId="77777777" w:rsidR="002F0359" w:rsidRPr="00250C7F" w:rsidRDefault="002F0359" w:rsidP="00A71721">
      <w:pPr>
        <w:tabs>
          <w:tab w:val="left" w:pos="3016"/>
        </w:tabs>
        <w:spacing w:after="0" w:line="240" w:lineRule="auto"/>
        <w:ind w:right="-2"/>
        <w:jc w:val="right"/>
        <w:rPr>
          <w:rFonts w:ascii="Times New Roman" w:hAnsi="Times New Roman" w:cs="Times New Roman"/>
          <w:sz w:val="24"/>
          <w:szCs w:val="24"/>
        </w:rPr>
      </w:pPr>
      <w:r w:rsidRPr="00250C7F">
        <w:rPr>
          <w:rFonts w:ascii="Times New Roman" w:hAnsi="Times New Roman" w:cs="Times New Roman"/>
          <w:sz w:val="24"/>
          <w:szCs w:val="24"/>
        </w:rPr>
        <w:t>Legea nr. 51/1995, art. 15, art. 16, art. 65 lit. p), art. 66 lit. p) şi s)</w:t>
      </w:r>
    </w:p>
    <w:p w14:paraId="1D603F5E" w14:textId="77777777" w:rsidR="002F0359" w:rsidRPr="00250C7F" w:rsidRDefault="002F0359" w:rsidP="00A71721">
      <w:pPr>
        <w:tabs>
          <w:tab w:val="left" w:pos="3016"/>
        </w:tabs>
        <w:spacing w:after="0" w:line="240" w:lineRule="auto"/>
        <w:ind w:right="-2"/>
        <w:jc w:val="right"/>
        <w:rPr>
          <w:rFonts w:ascii="Times New Roman" w:hAnsi="Times New Roman" w:cs="Times New Roman"/>
          <w:sz w:val="24"/>
          <w:szCs w:val="24"/>
        </w:rPr>
      </w:pPr>
      <w:r w:rsidRPr="00250C7F">
        <w:rPr>
          <w:rFonts w:ascii="Times New Roman" w:hAnsi="Times New Roman" w:cs="Times New Roman"/>
          <w:sz w:val="24"/>
          <w:szCs w:val="24"/>
        </w:rPr>
        <w:tab/>
        <w:t>Legea nr. 303/2004, art. 62 alin. (3) şi (4)</w:t>
      </w:r>
    </w:p>
    <w:p w14:paraId="592A7E4A" w14:textId="1EFB8EEA" w:rsidR="00891584" w:rsidRPr="00250C7F" w:rsidRDefault="00891584" w:rsidP="00A71721">
      <w:pPr>
        <w:spacing w:after="0" w:line="276" w:lineRule="auto"/>
        <w:ind w:right="-2"/>
        <w:jc w:val="both"/>
        <w:rPr>
          <w:rFonts w:ascii="Times New Roman" w:hAnsi="Times New Roman" w:cs="Times New Roman"/>
          <w:sz w:val="24"/>
          <w:szCs w:val="24"/>
          <w:shd w:val="clear" w:color="auto" w:fill="FFFFFF"/>
        </w:rPr>
      </w:pPr>
    </w:p>
    <w:p w14:paraId="7F2BF598" w14:textId="77777777" w:rsidR="00891584" w:rsidRPr="00250C7F" w:rsidRDefault="00891584" w:rsidP="00A71721">
      <w:pPr>
        <w:suppressAutoHyphens/>
        <w:autoSpaceDN w:val="0"/>
        <w:spacing w:after="0" w:line="276" w:lineRule="auto"/>
        <w:ind w:right="-2" w:firstLine="709"/>
        <w:jc w:val="both"/>
        <w:textAlignment w:val="baseline"/>
        <w:rPr>
          <w:rFonts w:ascii="Times New Roman" w:eastAsia="Calibri" w:hAnsi="Times New Roman" w:cs="Times New Roman"/>
          <w:i/>
          <w:iCs/>
          <w:sz w:val="24"/>
          <w:szCs w:val="24"/>
        </w:rPr>
      </w:pPr>
      <w:r w:rsidRPr="00250C7F">
        <w:rPr>
          <w:rFonts w:ascii="Times New Roman" w:eastAsia="Calibri" w:hAnsi="Times New Roman" w:cs="Times New Roman"/>
          <w:i/>
          <w:iCs/>
          <w:sz w:val="24"/>
          <w:szCs w:val="24"/>
        </w:rPr>
        <w:t>Hotărârea Consiliului unui barou județean, prin care s-a analizat situația de incompatibilitate reglementată de art.15 din Legea nr. 51/1995, nu poate fi exclusă de la controlul de legalitate exercitat de Consiliul U.N.B.R. în temeiul dispoziţiilor art. 66 lit. p) şi s) din Legea nr. 51/1995.</w:t>
      </w:r>
    </w:p>
    <w:p w14:paraId="5479C9EB" w14:textId="77777777" w:rsidR="00891584" w:rsidRPr="00250C7F" w:rsidRDefault="00891584" w:rsidP="00A71721">
      <w:pPr>
        <w:suppressAutoHyphens/>
        <w:autoSpaceDN w:val="0"/>
        <w:spacing w:after="0" w:line="276" w:lineRule="auto"/>
        <w:ind w:right="-2" w:firstLine="709"/>
        <w:jc w:val="both"/>
        <w:textAlignment w:val="baseline"/>
        <w:rPr>
          <w:rFonts w:ascii="Calibri" w:eastAsia="Calibri" w:hAnsi="Calibri" w:cs="Times New Roman"/>
        </w:rPr>
      </w:pPr>
      <w:r w:rsidRPr="00250C7F">
        <w:rPr>
          <w:rFonts w:ascii="Times New Roman" w:eastAsia="Calibri" w:hAnsi="Times New Roman" w:cs="Times New Roman"/>
          <w:i/>
          <w:iCs/>
          <w:sz w:val="24"/>
          <w:szCs w:val="24"/>
        </w:rPr>
        <w:t xml:space="preserve">Textul art. 15 alin. (1) lit. a) din Legea nr. 51/1995 nu lasă loc de interpretare atunci când face referire la interdicția de a desfășura o „activitate salarizată”, iar nu la cea de a deţine simultan mai multe funcții ale căror exercitare este suspendată, astfel încât nu poate fi reținută existența unei incompatibilități între calitatea de magistrat suspendat, căruia îi sunt aplicabile dispozițiile art. 62 alin. (3) și (4) din Legea nr. 303/2004, și cea de avocat. </w:t>
      </w:r>
    </w:p>
    <w:p w14:paraId="5F442665" w14:textId="77777777" w:rsidR="00891584" w:rsidRPr="00250C7F" w:rsidRDefault="00891584" w:rsidP="00A71721">
      <w:pPr>
        <w:suppressAutoHyphens/>
        <w:autoSpaceDN w:val="0"/>
        <w:spacing w:after="0" w:line="276" w:lineRule="auto"/>
        <w:ind w:right="-2" w:firstLine="709"/>
        <w:jc w:val="both"/>
        <w:textAlignment w:val="baseline"/>
        <w:rPr>
          <w:rFonts w:ascii="Times New Roman" w:eastAsia="Calibri" w:hAnsi="Times New Roman" w:cs="Times New Roman"/>
          <w:i/>
          <w:iCs/>
          <w:sz w:val="24"/>
          <w:szCs w:val="24"/>
        </w:rPr>
      </w:pPr>
      <w:r w:rsidRPr="00250C7F">
        <w:rPr>
          <w:rFonts w:ascii="Times New Roman" w:eastAsia="Calibri" w:hAnsi="Times New Roman" w:cs="Times New Roman"/>
          <w:i/>
          <w:iCs/>
          <w:sz w:val="24"/>
          <w:szCs w:val="24"/>
        </w:rPr>
        <w:t>Diferențierea existentă între incompatibilitatea cu o altă „funcţie” și incompatibilitatea  cu o „activitate salarizată” stabilită de legiuitor în cuprinsul art. 15 din Legea nr. 51/1995, trebuie înțeleasă în raport cu scopul urmărit prin instituirea interdicţiei din legislaţia care reglementează exercitarea profesiei de avocat prin prohibirea unei activităţi salarizate în cadrul altor profesii care nu se încadrează în categoriile exceptate de art. 16 din acelaşi act normativ.</w:t>
      </w:r>
    </w:p>
    <w:p w14:paraId="0F93906D" w14:textId="77777777" w:rsidR="00AC757B" w:rsidRPr="00250C7F" w:rsidRDefault="00AC757B" w:rsidP="00A71721">
      <w:pPr>
        <w:shd w:val="clear" w:color="auto" w:fill="FFFFFF"/>
        <w:spacing w:after="0" w:line="276" w:lineRule="auto"/>
        <w:ind w:right="-2"/>
        <w:jc w:val="both"/>
        <w:rPr>
          <w:rFonts w:ascii="Times New Roman" w:hAnsi="Times New Roman" w:cs="Times New Roman"/>
          <w:bCs/>
          <w:i/>
          <w:color w:val="000000" w:themeColor="text1"/>
          <w:sz w:val="24"/>
          <w:szCs w:val="24"/>
        </w:rPr>
      </w:pPr>
    </w:p>
    <w:p w14:paraId="2B1866B6" w14:textId="6E1C9901" w:rsidR="00AC757B" w:rsidRPr="00250C7F" w:rsidRDefault="00AC757B" w:rsidP="00A71721">
      <w:pPr>
        <w:shd w:val="clear" w:color="auto" w:fill="FFFFFF"/>
        <w:spacing w:after="0" w:line="276" w:lineRule="auto"/>
        <w:ind w:right="-2"/>
        <w:jc w:val="both"/>
        <w:rPr>
          <w:rFonts w:ascii="Times New Roman" w:hAnsi="Times New Roman" w:cs="Times New Roman"/>
          <w:bCs/>
          <w:i/>
          <w:color w:val="000000" w:themeColor="text1"/>
          <w:sz w:val="24"/>
          <w:szCs w:val="24"/>
        </w:rPr>
      </w:pPr>
      <w:bookmarkStart w:id="5" w:name="_Hlk83053596"/>
      <w:r w:rsidRPr="00250C7F">
        <w:rPr>
          <w:rFonts w:ascii="Times New Roman" w:hAnsi="Times New Roman" w:cs="Times New Roman"/>
          <w:sz w:val="24"/>
          <w:szCs w:val="24"/>
        </w:rPr>
        <w:t>I.C.C.J</w:t>
      </w:r>
      <w:r w:rsidR="0041096B" w:rsidRPr="00250C7F">
        <w:rPr>
          <w:rFonts w:ascii="Times New Roman" w:hAnsi="Times New Roman" w:cs="Times New Roman"/>
          <w:sz w:val="24"/>
          <w:szCs w:val="24"/>
        </w:rPr>
        <w:t>.</w:t>
      </w:r>
      <w:r w:rsidRPr="00250C7F">
        <w:rPr>
          <w:rFonts w:ascii="Times New Roman" w:hAnsi="Times New Roman" w:cs="Times New Roman"/>
          <w:sz w:val="24"/>
          <w:szCs w:val="24"/>
        </w:rPr>
        <w:t>, Secţia de contencios administrativ şi fiscal</w:t>
      </w:r>
      <w:r w:rsidRPr="00250C7F">
        <w:rPr>
          <w:rFonts w:ascii="Times New Roman" w:eastAsia="Times New Roman" w:hAnsi="Times New Roman" w:cs="Times New Roman"/>
          <w:sz w:val="24"/>
          <w:szCs w:val="24"/>
        </w:rPr>
        <w:t xml:space="preserve">, decizia nr. </w:t>
      </w:r>
      <w:bookmarkEnd w:id="5"/>
      <w:r w:rsidR="00891584" w:rsidRPr="00250C7F">
        <w:rPr>
          <w:rFonts w:ascii="Times New Roman" w:hAnsi="Times New Roman" w:cs="Times New Roman"/>
          <w:sz w:val="24"/>
          <w:szCs w:val="24"/>
          <w:shd w:val="clear" w:color="auto" w:fill="FFFFFF"/>
        </w:rPr>
        <w:t>968 din 17 februarie 2021</w:t>
      </w:r>
    </w:p>
    <w:p w14:paraId="62292809" w14:textId="77777777" w:rsidR="00AC757B" w:rsidRPr="00250C7F" w:rsidRDefault="00AC757B" w:rsidP="00A71721">
      <w:pPr>
        <w:tabs>
          <w:tab w:val="left" w:pos="810"/>
        </w:tabs>
        <w:spacing w:after="0" w:line="276" w:lineRule="auto"/>
        <w:ind w:right="-2"/>
        <w:jc w:val="both"/>
        <w:rPr>
          <w:rFonts w:ascii="Times New Roman" w:hAnsi="Times New Roman" w:cs="Times New Roman"/>
          <w:b/>
          <w:bCs/>
          <w:i/>
          <w:sz w:val="24"/>
          <w:szCs w:val="24"/>
        </w:rPr>
      </w:pPr>
    </w:p>
    <w:p w14:paraId="29393012" w14:textId="77777777" w:rsidR="00891584" w:rsidRPr="00250C7F" w:rsidRDefault="00D045F3" w:rsidP="00A71721">
      <w:pPr>
        <w:spacing w:after="0" w:line="276" w:lineRule="auto"/>
        <w:ind w:right="-2"/>
        <w:jc w:val="both"/>
        <w:rPr>
          <w:rFonts w:ascii="Times New Roman" w:eastAsia="Calibri" w:hAnsi="Times New Roman" w:cs="Times New Roman"/>
          <w:sz w:val="24"/>
          <w:szCs w:val="24"/>
        </w:rPr>
      </w:pPr>
      <w:r w:rsidRPr="00250C7F">
        <w:rPr>
          <w:rFonts w:ascii="Times New Roman" w:hAnsi="Times New Roman" w:cs="Times New Roman"/>
          <w:b/>
          <w:bCs/>
          <w:i/>
          <w:sz w:val="24"/>
          <w:szCs w:val="24"/>
        </w:rPr>
        <w:tab/>
      </w:r>
      <w:r w:rsidR="00891584" w:rsidRPr="00250C7F">
        <w:rPr>
          <w:rFonts w:ascii="Times New Roman" w:eastAsia="Calibri" w:hAnsi="Times New Roman" w:cs="Times New Roman"/>
          <w:sz w:val="24"/>
          <w:szCs w:val="24"/>
        </w:rPr>
        <w:t>1. Obiectul cererii de chemare în judecată</w:t>
      </w:r>
    </w:p>
    <w:p w14:paraId="11F5F87C" w14:textId="09026DE2" w:rsidR="00891584"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Prin cererea înregistrată pe rolul Curţii de Apel Bucureşti - Secţia a VIII-a contencios administrativ şi fiscal, la data de 03.10.2017, sub numărul 7510/2/2017, reclamanta A în contradictoriu cu pârâţii Consiliul Uniunii Naţionale a Barourilor din România (Consiliul U.N.B.R.) şi Consiliul Baroului B, a formulat contestaţie împotriva Deciziei nr.248/17.06.2017 adoptată de Consiliul U.N.B.R. şi a Deciziei nr.84/22.06.2017 adoptată de Consiliul Baroului B, solicitând anularea acestor decizii pentru motive de nelegalitate, obligarea pârâţilor, în solidar, la plata sumei de 250.000 lei cu titlu de despăgubiri şi obligarea pârâtei la plata cheltuielilor de judecată.</w:t>
      </w:r>
    </w:p>
    <w:p w14:paraId="3D3E31D9" w14:textId="77777777" w:rsidR="005622DC" w:rsidRPr="00250C7F" w:rsidRDefault="005622DC"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p>
    <w:p w14:paraId="244A6DA3"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2. Hotărârea instanţei de fond</w:t>
      </w:r>
    </w:p>
    <w:p w14:paraId="565CCFB8"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sentinţa civilă nr.2158 din 8 mai 2018 pronunţată de Curtea de Apel Bucureşti – Secţia a VIII-a contencios administrativ şi fiscal, s-a admis în parte cererea de chemare în judecată formulată de către reclamanta A, în contradictoriu cu pârâţii Consiliul Uniunii  Naţionale a Barourilor din România, şi Consiliul Baroului B, a fost anulată Decizia nr. 248/17.06.2017 a Consiliului Uniunii Naţionale a Barourilor din România şi Decizia nr. 84/22.06.2017 a Consiliului Baroului B şi s-a respins capătul de cerere privind obligarea pârâţilor la plata de despăgubiri, ca neîntemeiat. </w:t>
      </w:r>
    </w:p>
    <w:p w14:paraId="4199A6F3"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3. Calea de atac exercitată în cauză</w:t>
      </w:r>
    </w:p>
    <w:p w14:paraId="3EA6A1B4" w14:textId="07CF3360"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Împotriva sentinţei civile nr.2158 din 8 mai 2018, pronunţate de Curtea de Apel Bucureşti – Secţia a VIII-a contencios administrativ şi fiscal, recurentii-pârâti Consiliul Uniunii  Naţionale a Barourilor din România şi Consiliul Baroului B au formulat cereri de recurs, criticând hotărârea pentru nelegalitate.</w:t>
      </w:r>
    </w:p>
    <w:p w14:paraId="19963FAC" w14:textId="4A10F68C"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3.1. Recurentul-pârât Consiliul Uniunii  Naţionale a Barourilor din România, prin cererea de recurs întemeiată pe dispoziţiile art.488 alin.1 pct.8 Cod procedură civilă, a solicitat admiterea recursului, casarea în parte a sentinţei atacate şi constatarea legalităţii actelor administrative contestate de reclamantă. </w:t>
      </w:r>
    </w:p>
    <w:p w14:paraId="341575B0"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dezvoltarea motivului de casare invocat s-au formulat următoarele critici: </w:t>
      </w:r>
    </w:p>
    <w:p w14:paraId="3650B05D"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Într-o primă critică se susţine că hotărârea recurată a fost pronunţată cu aplicarea greşita a normei de drept material - respectiv a Legii 51/1995 si a Statutului profesiei de avocat- tinde ca, pe cale jurisprudentiala, sa modifice legea de organizare si exercitare a profesie de avocat, lucru pe care il apreciem drept grav. Judecătorul fondului face o aplicare greşita a dispoziţiilor art. 66 lit p (actualul art. 65 lit. p) din Legea 51/1995. </w:t>
      </w:r>
    </w:p>
    <w:p w14:paraId="508AA7F1"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Astfel, acesta retine că "susţinerile pârâților in sensul ca potrivit art. 66 lit. p din Legea 51/1995 hotărârile barourilor din România sunt supuse verificării nu poate fi reţinuta, întrucât Consiliul UNBR nu are dreptul de a cenzura decisive consiliilor barourilor pentru care nu se prevede în mod expres o cale de atac, nicio prevedere legala neconferindu-i aceasta competenta, având in vedere ca nici Legea 51/1995 si nici Statutul profesiei de avocat nu reglementează principiul dublului grad de jurisdicție, ci dimpotrivă reglementează principiul autonomiei şi decentralizării barourilor".</w:t>
      </w:r>
    </w:p>
    <w:p w14:paraId="72599F51"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Este de la sine înţeles ca legislaţia profesiei de avocat reglementează principiul autonomiei si descentralizării barourilor, dar această legislaţie, chiar daca nu prevede principiul dublului grad de jurisdicție, include principiul controlului legalităţii actelor emise de consiliile barourilor in interiorul profesiei, acest control fiind un atribut exclusiv si imperativ al Consiliului UNBR. </w:t>
      </w:r>
    </w:p>
    <w:p w14:paraId="7341CD4D"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Potrivit dispoziţiilor art. 66 lit. p din Legea 51/1995, Consiliul UNBR are următoarele atribuţii: </w:t>
      </w:r>
    </w:p>
    <w:p w14:paraId="3E6DEBF3"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i/>
          <w:iCs/>
          <w:sz w:val="24"/>
          <w:szCs w:val="24"/>
        </w:rPr>
      </w:pPr>
      <w:r w:rsidRPr="00250C7F">
        <w:rPr>
          <w:rFonts w:ascii="Times New Roman" w:eastAsia="Calibri" w:hAnsi="Times New Roman" w:cs="Times New Roman"/>
          <w:i/>
          <w:iCs/>
          <w:sz w:val="24"/>
          <w:szCs w:val="24"/>
        </w:rPr>
        <w:t>(...) „p) verifică legalitatea si temeinicia deciziilor de primire in profesie si de înscriere in tabloul avocaţilor, date de către consiliile barourilor, la cererea persoanelor interesate".</w:t>
      </w:r>
    </w:p>
    <w:p w14:paraId="1A018F30"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Deci, Consiliul UNBR este obligat, printr-un text imperativ prevăzut de o lege organica, să verifice legalitatea si temeinicia decizii lor de primire in profesie si de înscriere in tabloul avocaţilor, decizii date de către consiliile barourilor.</w:t>
      </w:r>
    </w:p>
    <w:p w14:paraId="48DEE9F9"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Acest text de lege imperativ vine in totală contradicție cu aplicarea greșită a legii pe care o face Judecătorul fondului din prezentul dosar, care susţine ca, fără nicio motivare in drept: </w:t>
      </w:r>
      <w:r w:rsidRPr="00250C7F">
        <w:rPr>
          <w:rFonts w:ascii="Times New Roman" w:eastAsia="Calibri" w:hAnsi="Times New Roman" w:cs="Times New Roman"/>
          <w:sz w:val="24"/>
          <w:szCs w:val="24"/>
        </w:rPr>
        <w:lastRenderedPageBreak/>
        <w:t>"Consiliul UNBR nu are dreptul de a cenzura deciziile consiliilor barourilor pentru care nu se prevede in mod expres o cale de atac, nicio prevedere legală neconferindu-i această competenta".</w:t>
      </w:r>
    </w:p>
    <w:p w14:paraId="2AC2BE84" w14:textId="52B2C1F3"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cea de-a doua critică se susţine că în mod greșit prima instanță a reţinut ca Preşedintele UNBR "nu avea calea contestației împotriva Hotărârii Consiliului Baroului B, având </w:t>
      </w:r>
      <w:r w:rsidR="00EF5583" w:rsidRPr="00250C7F">
        <w:rPr>
          <w:rFonts w:ascii="Times New Roman" w:eastAsia="Calibri" w:hAnsi="Times New Roman" w:cs="Times New Roman"/>
          <w:sz w:val="24"/>
          <w:szCs w:val="24"/>
        </w:rPr>
        <w:t>î</w:t>
      </w:r>
      <w:r w:rsidRPr="00250C7F">
        <w:rPr>
          <w:rFonts w:ascii="Times New Roman" w:eastAsia="Calibri" w:hAnsi="Times New Roman" w:cs="Times New Roman"/>
          <w:sz w:val="24"/>
          <w:szCs w:val="24"/>
        </w:rPr>
        <w:t xml:space="preserve">n vedere prevederile art. 25 lit. m si art. 36 alin. 2 lit. i din Hotărârea Consiliului UNBR nr. 5/2011 de aprobare a Regulamentului de organizare si funcţionare a UNBR si de desfășurare a ședințelor UNBR care enumeră expres si limitativ care sunt hotărârile consiliilor barourilor împotriva cărora Președintele UNBR poate declara contestație in fata Consiliului UNBR, doar Decizia Consiliului Baroului B nr. 58/24.04.2017 nu se încadrează in cele pe care Președintele UNBR le poate contesta". În motivarea acestei afirmații, judecătorul fondului afirmă ca prin hotărâre a Consiliului UNBR au fost limitate puterile stabilite de Lege si Statut in sarcina Președintelui UNBR, interpretare care este evident greșită, ea contravenind principiului ierarhiei actelor juridice. Este fără doar si poate ca un regulament adoptat de Consiliul UNBR nu poate limita puterile stabilite prin lege si statut </w:t>
      </w:r>
      <w:r w:rsidR="00EF5583" w:rsidRPr="00250C7F">
        <w:rPr>
          <w:rFonts w:ascii="Times New Roman" w:eastAsia="Calibri" w:hAnsi="Times New Roman" w:cs="Times New Roman"/>
          <w:sz w:val="24"/>
          <w:szCs w:val="24"/>
        </w:rPr>
        <w:t>î</w:t>
      </w:r>
      <w:r w:rsidRPr="00250C7F">
        <w:rPr>
          <w:rFonts w:ascii="Times New Roman" w:eastAsia="Calibri" w:hAnsi="Times New Roman" w:cs="Times New Roman"/>
          <w:sz w:val="24"/>
          <w:szCs w:val="24"/>
        </w:rPr>
        <w:t xml:space="preserve">n sarcina Președintelui UNBR, ci doar le poate explicita. </w:t>
      </w:r>
    </w:p>
    <w:p w14:paraId="3CB6C0D8"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Prin cea de-a treia critică se susţine că  instanţa de fond face o aplicare greşita a art. 15 si 16 din Legea 51/1995, ca si a articolelor 5 si 8 din Legea 303/2004, ajungând la concluzia ca reclamanta nu este in niciuna dintre situaţiile de incompatibilitate prevăzute de lege.</w:t>
      </w:r>
    </w:p>
    <w:p w14:paraId="0C138541" w14:textId="1903AAA8"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Dispoziţiile art. 16 din Legea 51/1995 sunt clare si de stricta interpretare, ele reprezentând un text de excepţie care nu se referă la noţiunea de "judecător (fie si) suspendat". Cu alte cuvinte, excepţia fiind de stricta interpretare, ea nu poate fi analizata decât in cadrul legal, care este unul restrictiv si care nu prevede printre persoanele compatibile cu exercitarea profesiei de avocat judecătorii, fie ei si suspendaţi din funcţie. </w:t>
      </w:r>
    </w:p>
    <w:p w14:paraId="63EBC409" w14:textId="7BF90D0C"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cauză nu este vorba neapărat de persoane care ar deveni incompatibile făcând acte de comerţ sau având activităţi salarizate in baza unui contract de muncă - aşa cum, limitat si fara nicio proba, retine prima instanţă- ci de personae care sunt incompatibile cu calitatea de avocat activ, atâta vreme cat deţin funcţii - fie şi suspendate- incompatibile cu profesia de avocat, funcţii pe care le pot redobândi in orice moment, fara exercitarea autorității de către organele profesiei de avocat. In acest sens, deţinerea funcţiei de judecător - fie şi suspendat- nu permite, in opinia noastră, exercitarea concomitenta a profesiei de avocat, pentru ca este de natura sa aducă atingere independentei acesteia.</w:t>
      </w:r>
    </w:p>
    <w:p w14:paraId="66CC7AAA" w14:textId="79D14559"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3.2. Recurentul-pârât Consiliul Baroului B, prin cererea de recurs întemeiată pe dispoziţiile art.488 alin.1 pct.8 Cod procedură civilă, de asemenea, a solicitat admiterea recursului, casarea în parte a sentinţei atacate şi constatarea legalităţii actelor administrative contestate de reclamantă .</w:t>
      </w:r>
    </w:p>
    <w:p w14:paraId="4D8AAD17" w14:textId="1A862339"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dezvoltarea motivului de casare invocat a criticat hotărârea pr</w:t>
      </w:r>
      <w:r w:rsidR="00EF5583" w:rsidRPr="00250C7F">
        <w:rPr>
          <w:rFonts w:ascii="Times New Roman" w:eastAsia="Calibri" w:hAnsi="Times New Roman" w:cs="Times New Roman"/>
          <w:sz w:val="24"/>
          <w:szCs w:val="24"/>
        </w:rPr>
        <w:t>o</w:t>
      </w:r>
      <w:r w:rsidRPr="00250C7F">
        <w:rPr>
          <w:rFonts w:ascii="Times New Roman" w:eastAsia="Calibri" w:hAnsi="Times New Roman" w:cs="Times New Roman"/>
          <w:sz w:val="24"/>
          <w:szCs w:val="24"/>
        </w:rPr>
        <w:t>nunţată de prima instanţă pentru greşita aplicare a dispoziţiilor art. 66 lit p (actualul art. 65 lit. p) din Legea 51/1995, formulând, în esenţă, critici similare celor expuse în recursul Consiliului Uniunii Naţionale a Barourilor din România.</w:t>
      </w:r>
    </w:p>
    <w:p w14:paraId="5C1F2352" w14:textId="151E9019"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plus, în ceea ce priveşte greşita aplicare a dispoziţiilor Legii 51/1995, mai invocă încălcarea principiului de drept tempus regit actum în considerarea faptului că prima instanţă nu face distincția </w:t>
      </w:r>
      <w:r w:rsidR="00EF5583" w:rsidRPr="00250C7F">
        <w:rPr>
          <w:rFonts w:ascii="Times New Roman" w:eastAsia="Calibri" w:hAnsi="Times New Roman" w:cs="Times New Roman"/>
          <w:sz w:val="24"/>
          <w:szCs w:val="24"/>
        </w:rPr>
        <w:t>î</w:t>
      </w:r>
      <w:r w:rsidRPr="00250C7F">
        <w:rPr>
          <w:rFonts w:ascii="Times New Roman" w:eastAsia="Calibri" w:hAnsi="Times New Roman" w:cs="Times New Roman"/>
          <w:sz w:val="24"/>
          <w:szCs w:val="24"/>
        </w:rPr>
        <w:t xml:space="preserve">ntre dobândirea calității de avocat, la data promovării examenului de intrare in profesie şi momentul începerii efective a exercitării profesiei de avocat, care coincide cu data înscrierii in tablou. Intimata-reclamantă a promovat examenul de primire in profesie anterior intrării in vigoare a Legii nr. 25/2017, 31 martie, dar exercițiul profesional efectiv 1-a început după aceasta data. </w:t>
      </w:r>
    </w:p>
    <w:p w14:paraId="319AE412" w14:textId="0BBC5C54"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 xml:space="preserve">Legea 51/1995 face o distincție netă </w:t>
      </w:r>
      <w:r w:rsidR="00EF5583" w:rsidRPr="00250C7F">
        <w:rPr>
          <w:rFonts w:ascii="Times New Roman" w:eastAsia="Calibri" w:hAnsi="Times New Roman" w:cs="Times New Roman"/>
          <w:sz w:val="24"/>
          <w:szCs w:val="24"/>
        </w:rPr>
        <w:t>î</w:t>
      </w:r>
      <w:r w:rsidRPr="00250C7F">
        <w:rPr>
          <w:rFonts w:ascii="Times New Roman" w:eastAsia="Calibri" w:hAnsi="Times New Roman" w:cs="Times New Roman"/>
          <w:sz w:val="24"/>
          <w:szCs w:val="24"/>
        </w:rPr>
        <w:t>ntre data promovării examenului in profesie şi data începerii efective a activaţii profesionale, prin înscrierea pe tablou, reglementându-le in mod separat. Daca dobândirea calităţii de avocat, prin examen- este reglementată de Capitolul II din Legea 51/1995, Secţiunea I, "Condiții de înscriere in avocatura", art. 12- 25, exercitarea profesiei de avocat este reglementată in Capitolul III, Secţiunea I, Drepturile Avocaților, articolul 28. Acest din urma text arată că exercitarea profesiei de avocat este posibilă numai de la data înscrierii in tablou, ceea ce înseamnă, printr-o interpretare per a contrario, că avocatul care a promovat examenul de intrare in profesie, dar încă nu a fost înscris in tabloul avocaților, nu poate exercita profesia. În concluzie, există distincție intre momentul dobândirii calității de avocat şi momentul începerii exercițiului profesiei, distincție pe care prima instanță nu o face, cu toate ca ea era necesară, mai ales ținând cont de faptul ca intimata-reclamanta a dobândit calitatea de avocat anterior intrării in vigoare a Legii 25/2017 şi a fost înscrisa in tablou după data de 31 martie 2017.</w:t>
      </w:r>
    </w:p>
    <w:p w14:paraId="1E2C53DE"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4. Apărările formulate în recurs</w:t>
      </w:r>
    </w:p>
    <w:p w14:paraId="259A3082" w14:textId="0983D7C6"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4.1. Intimata-reclamantă a formulat întâmpinare la recursuri, prin care a solicitat respingerea recursurilor, apreciind că sentinţa recurată este temeinică şi legală, fiind data cu corecta aplicare şi interpretare a normelor de drept material, motivele de recurs fiind neîntemeiate. </w:t>
      </w:r>
    </w:p>
    <w:p w14:paraId="2743C24C"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Aspecte prealabile. Considerentele primei instanţe</w:t>
      </w:r>
    </w:p>
    <w:p w14:paraId="6D8193A1"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Prin sentinţa civilă nr.2158/08 05 2018 pronunţată de Curtea de Apel Bucureşti - Secţia a VlII-a Contencios Administrativ şi Fiscal s-a dispus anularea Deciziei nr.248/17 06 2017 a Consiliului U.N.B.R. şi a Deciziei nr.84/22 06 2017 a Consiliului Baroului B.</w:t>
      </w:r>
    </w:p>
    <w:p w14:paraId="1F098645"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Actele administrative relevante speţei emise de către recurenţi.</w:t>
      </w:r>
    </w:p>
    <w:p w14:paraId="4B70C56E"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Prin Hotărârea nr.135 din 19 august 2016 Consiliul Baroului B a dispus validarea verificării îndeplinirii condiţiilor de primire în profesia de avocat a candidaţilor înscrişi la examen, printre care se numără  intimata (poziţia nr. l din anexa hotărârii).</w:t>
      </w:r>
    </w:p>
    <w:p w14:paraId="7BE489B5"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Prin Decizia nr.165/04 noiembrie 2016 Comisia Permanentă a U.N.B.R. a aprobat validarea examenului de primire în profesia de avocat, dispunând primirea în profesia de avocat a candidaţilor declaraţi admişi la examen și emiterea deciziilor de primire în profesie.</w:t>
      </w:r>
    </w:p>
    <w:p w14:paraId="4052E7ED" w14:textId="0D43C4E0"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Prin Decizia nr.165/08/4 noiembrie 2016 Comisia Permanentă a U.N.B.R. a aprobat primirea în profesia de avocat a candidaţilor declaraţi admişi la examen şi care au depus cererea de înscriere la Baroul B; comunicarea deciziei persoanelor prevăzute în anexă de către Baroul B şi înscrierea în tabloul avocaţilor Baroului B, cu respectarea condiţiilor şi după îndeplinirea formalităţilor prevăzute de lege.</w:t>
      </w:r>
    </w:p>
    <w:p w14:paraId="47983634"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Hotărârea nr.58/24 aprilie 2017 Consiliul Baroului a constatat că reclamanta nu se află în situația de incompatibilitate reglementată de art. 15 din Legea nr. 51/1995. </w:t>
      </w:r>
    </w:p>
    <w:p w14:paraId="35645131"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Prin Hotărârea nr.69/31 mai 2017 Consiliul Baroului B a dispus înscrierea reclamantei în tabloul avocaţilor definitivi din cadrul Baroului B, începând cu data de 31. 05. 2017, şi avizarea funcţionării Cabinetului de Avocat ”A”.</w:t>
      </w:r>
    </w:p>
    <w:p w14:paraId="648B98A5"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Decizia nr. 248/17 iunie 2017 emisă de Consiliul U.N.B.R., s-a admis contestaţia Preşedintelui U.N.B.R. împotriva deciziei Consiliului Baroului B nr.58/24 04 2017, trimițându-se cauza Baroului B pentru reanalizarea cererii reclamantei de înscriere pe Tabloul Avocaţilor Baroului B. </w:t>
      </w:r>
    </w:p>
    <w:p w14:paraId="5A6BD598"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Hotărârea nr.84/22 06 2017 Consiliul Baroului B a constatat că reclamanta  se află în situaţia de incompatibilitate prevăzută de art. 16 din Legea nr.51/1995 modificată, s-a modificat art. l din Decizia Baroului B nr.69/31 05 2017, în sensul că s-a dispus înscrierea reclamantei în </w:t>
      </w:r>
      <w:r w:rsidRPr="00250C7F">
        <w:rPr>
          <w:rFonts w:ascii="Times New Roman" w:eastAsia="Calibri" w:hAnsi="Times New Roman" w:cs="Times New Roman"/>
          <w:sz w:val="24"/>
          <w:szCs w:val="24"/>
        </w:rPr>
        <w:lastRenderedPageBreak/>
        <w:t>Tabloul avocaţilor incompatibili începând cu data de 22 06 2017 şi s-a suspendat autorizaţia de funcţionare a Cabinetului de Avocat „A”.</w:t>
      </w:r>
    </w:p>
    <w:p w14:paraId="75EE1862"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Argumente privind netemeinicia motivelor de recurs:</w:t>
      </w:r>
    </w:p>
    <w:p w14:paraId="4A2A6495"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Recurenţii susţin că prima instanţă a făcut o aplicare greşită a legii, însă în esenţă reiterează (mai succint) apărările formulate la judecata în primă instanţă, pe cale de întâmpinare.</w:t>
      </w:r>
    </w:p>
    <w:p w14:paraId="57618111" w14:textId="45C6B150"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speţă, instanţa de fond nu a aplicat prevederi legale străine de starea de fapt, a constatat că în speţă sunt incidente dispoziții speciale (Legea nr.51/1995, Statutul profesiei de avocat. Hotărârea Consiliului U.N.B.R. nr.5/2011 de aprobare a Regulamentului de organizare şi funcționare a U.N.B.R. şi de desfășurare a ședințelor U.N.B.R., adoptate pentru completarea şi punerea în aplicare a Legii nr.51/1995, Decizia Curţii Constituţionale nr.297/2014, Decizia Curţii Europene a Drepturilor Omului în cauza Mateescu vs. România), a dat eficienţă unor principii generale de drept (principiul autonomiei şi descentralizării barourilor şi principiul neretroactivității legii), nu a procedat la extinderea ori restrângerea aplicării normelor juridice speciale de drept material şi nu a procedat la interpretarea greşită a prevederilor legale speciale, ci a constatat însăși aplicarea acestora.</w:t>
      </w:r>
    </w:p>
    <w:p w14:paraId="52A15A51"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Potrivit art. l din Legea nr.51/1995, profesia de avocat este liberă şi independentă, cu organizare şi funcţionare autonome, aspect reiterat de prevederile art.49 alin. (l) din Legea nr.51/1995. În acelaşi sens sunt şi prevederile art. (l) alin. (2) şi art. 4 alin. (l) din Statutul profesiei de avocat, precum şi ale art.6 şi 8 din Hotărârea nr.5/2011 de aprobare a Regulamentului de organizare şi funcţionare a U.N.B.R, şi de desfăşurare a şedinţelor Consiliului U.N.B.R. </w:t>
      </w:r>
    </w:p>
    <w:p w14:paraId="1312B9E8"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consecință, barourile, ca autorități administrative referitoare la organizarea şi funcționarea profesiei de avocat, la nivel județean şi al mun. București, se bucură de autonomie faţă de U.N.B.R., care reprezintă autoritatea administrativă referitoare la organizarea şi funcționarea profesiei la nivel național şi care este formată din toate barourile din România.</w:t>
      </w:r>
    </w:p>
    <w:p w14:paraId="5072C303"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Principiul autonomiei şi descentralizării barourilor se întemeiază pe prevederile legale care reglementează atribuțiile U.N.B.R. în privința politicilor profesionale naționale, în ceea ce priveşte reglementarea profesiei (autoreglementare), controlul profesional, admiterea în profesie, pregătirea profesională continuă şi iniţială.</w:t>
      </w:r>
    </w:p>
    <w:p w14:paraId="5DB019BD"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Analizând atribuțiile prevăzute de art.66 din Legea nr.51/1995 pentru Consiliul U.N.B.R., se constată că acesta nu are atribuția de a da dispoziții consiliilor barourilor asupra modului de îndeplinire a propriilor atribuții, prevăzute de art.56 din Legea nr.51/1995. Atribuțiile acestor autorități administrative, la nivelul organizării şi funcționării profesiei de avocat, sunt distincte şi strict prevăzute de lege. Mai mult decât atât, art.62 alin. (l) din Statutul profesiei de avocat prevede că independenţa profesiei, autonomia baroului şi exercitarea profesiei de avocat nu pot fi îngrădite sau limitate prin actele autorităţilor administraţiei publice, ale instanţelor judecătoreşti, ale Ministerului Public sau ale altor autorităţi, decât în cazurile şi în condiţiile prevăzute de lege. De asemenea, art.76 alin. (1) din Statutul profesiei de avocat prevede că hotărârile adoptate de consiliul baroului pot fi anulate de Consiliul U.N.B.R. numai pentru motive de nelegalitate ori de încălcare a prevederilor statutului, cu respectarea autonomiei baroului. Analizând prevederile legale care stabilesc atribuţiile barourilor şi ale organelor U.N.B.R., precum şi prevederile evocate mai sus, se desprinde concluzia că barourile nu se află într-o relaţie de subordonare, ci de coordonare cu Consiliul U.N.B.R., acestea fiind autonome şi independente. Potrivit art.56 alin. (2) lit. f) din Legea nr.51/1995, consiliul baroului este singurul organ al profesiei care hotărăște asupra stării de incompatibilitate şi asupra încetării acesteia. Art. 30 din Statutul profesiei de </w:t>
      </w:r>
      <w:r w:rsidRPr="00250C7F">
        <w:rPr>
          <w:rFonts w:ascii="Times New Roman" w:eastAsia="Calibri" w:hAnsi="Times New Roman" w:cs="Times New Roman"/>
          <w:sz w:val="24"/>
          <w:szCs w:val="24"/>
        </w:rPr>
        <w:lastRenderedPageBreak/>
        <w:t>avocat prevede că incompatibilitățile prevăzute de lege se verifică şi se constată de consiliul baroului chiar şi din oficiu.</w:t>
      </w:r>
    </w:p>
    <w:p w14:paraId="47D844B9"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De altfel, Consiliul U.N.B.R. prin Decizia nr.248/17 06 2017 nu a modificat Decizia Consiliului Baroului B nr.58/24 04 2017 (şi nici nu putea proceda astfel), ci a trimis cererea reclamantei spre reanaliză, dând indicații Consiliului Baroului B cum să procedeze. In materia hotărârilor consiliilor barourilor nu există un dublu grad de jurisdicţie, în sensul că toate aceste hotărâri ar putea fi atacate la Consiliul U.N.B.R, ci Consiliul U.N.B.R. îndeplinește atribuția de for jurisdicțional numai în situaţiile expres si limitativ prevăzute de lege.</w:t>
      </w:r>
    </w:p>
    <w:p w14:paraId="4ED1379C"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Competenţa Consiliului U.N.B.R. în materia analizării si soluţionării contestaţiilor este prevăzută expres si limitativ de art.25 lit. m) din Hotărârea Consiliului U.N.B.R. nr.5/2011 de aprobare a Regulamentului de organizare şi funcţionare a U.N.B.R. şi de desfăşurare a şedinţelor U.N.B.R., iar competența Preşedintelui U.N.B.R. în materia exercitării căii de atac a contestaţiei împotriva deciziilor barourilor este expres şi limitativ prevăzută de art. 36 alin. (2) lit. i) din Hotărârea Consiliului U.N.B.R. nr.5/2011 de aprobare a Regulamentului de organizare şi funcţionare a U.N.B.R. şi de desfăşurare a şedinţelor U.N.B.R. </w:t>
      </w:r>
    </w:p>
    <w:p w14:paraId="4B4F43AC"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Art.66 lit. p) din Legea nr.51/1995 stabileşte competenţa generală pentru Consiliul U.N.B.R. de for jurisdicţional, însă această prevedere se completează cu dispoziţiile speciale ale art. 25 lit. m) şi art.36 alin. (2) lit. i) din Hotărârea Consiliului U.N.B.R. nr.5/2011 de aprobare a Regulamentului de organizare şi funcționare a U.N.B.R. şi de desfășurare a şedinţelor U.N.B.R. Hotărârile/deciziile barourilor pentru care Statutul profesiei de avocat şi Hotărârea Consiliului U.N.B.R. nr.5/2011 de aprobare a Regulamentului de organizare şi funcţionare a U.N.B.R. şi de desfăşurare a şedinţelor U.N.B.R. nu prevede jurisdicţia Consiliului U.N.B.R. pot fi contestate numai în procedura contenciosului administrativ, acestea fiind acte administrative.</w:t>
      </w:r>
    </w:p>
    <w:p w14:paraId="3AE3FBD2"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Recurenţii nu au invocat nici la judecata în fond şi nici prin cererile de recurs temeiul legal în baza căruia Preşedintele U.N.B.R. a exercitat contestaţia împotriva Hotărârii Consiliului Baroului B nr. 58/24 04 2017 şi nici temeiul legal în baza căruia Consiliul U.N.B.R. a soluţionat această contestaţie.</w:t>
      </w:r>
    </w:p>
    <w:p w14:paraId="57407510"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Esenţa motivării Deciziei nr.248/17 06 2017 a Consiliului U.N.B.R. şi evocată mai apoi în Decizia nr.84/22 06 2017 a Consiliului Baroului B este forma dobândită de art.l6 din Legea nr.51/1995, după modificarea acestuia prin Legea nr.25/2017, mult ulterioară nașterii raporturilor juridice din speţă, însă, la data adoptării Hotărârii nr.58/24 04 2017 de către Consiliul Baroului B Legea nr.25/2017 era în vigoare (31. 03. 2017).</w:t>
      </w:r>
    </w:p>
    <w:p w14:paraId="5ED7D57B"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motivarea deciziei nr.248/17 06 2017 a Consiliului U.N.B.R. se menționează că prevederile Legii nr. 303/2004 privind statutul judecătorilor şi procurorilor au un caracter „nedeterminant". Prevederile art. 5 şi art. 62 ale acestei legi stabilesc că pe perioada suspendării din funcție judecătorului/procurorului nu i se aplică incompatibilitățile şi interdicțiile prevăzute de această lege specială. </w:t>
      </w:r>
    </w:p>
    <w:p w14:paraId="1925B464"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Argumentul lipsei unei prevederi legale în legea care reglementează profesia de avocat privind compatibilitatea calităţii de avocat cu cea de judecător este lipsită de temei legal. Legiuitorul nu reglementează compatibilităţi, acestea constituind regula, ci incompatibilităţi, care constituie excepţia.</w:t>
      </w:r>
    </w:p>
    <w:p w14:paraId="56861899"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Incompatibilităţile şi interdicţiile prevăzute în diferite acte normative reprezintă limitări legale ale dreptului de a exercita o profesie, iar prevederile legale care instituie astfel de îngrădiri, trebuie interpretate restrictiv, deoarece prin acestea se restrâng drepturi fundamentale, cum este </w:t>
      </w:r>
      <w:r w:rsidRPr="00250C7F">
        <w:rPr>
          <w:rFonts w:ascii="Times New Roman" w:eastAsia="Calibri" w:hAnsi="Times New Roman" w:cs="Times New Roman"/>
          <w:sz w:val="24"/>
          <w:szCs w:val="24"/>
        </w:rPr>
        <w:lastRenderedPageBreak/>
        <w:t xml:space="preserve">dreptul la muncă şi dreptul la exerciţiul unei profesii care se subsumează dreptului la viaţă privată din perspectiva dezvoltării personale. </w:t>
      </w:r>
    </w:p>
    <w:p w14:paraId="716A8F3A"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Potrivit art.10 din Codul civil, legile care derogă de la o dispoziţie generală, care restrâng exerciţiul unor drepturi civile sau care prevăd sancţiuni se aplică numai în cazurile expres si limitativ prevăzute de lese. </w:t>
      </w:r>
    </w:p>
    <w:p w14:paraId="2005A89F"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Art.2 alin. (3) din Codul civil stabilește că acest cod este alcătuit dintr-un ansamblu de reguli care constituie dreptul comun pentru toate domeniile la care se referă litera sau spiritul dispoziţiilor sale. De asemenea, potrivit art. l alin. (1) din Codul civil, sunt izvoare ale dreptului civil legea, uzanțele şi principiile generale ale dreptului.</w:t>
      </w:r>
    </w:p>
    <w:p w14:paraId="14229BAE"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Potrivit art.15 lit. a) din Legea nr. 51/1995, exercitarea profesiei de avocat este incompatibilă cu activitatea salarizată în cadrul altor profesii decât cea de avocat. Potrivit art.62 alin. (3) şi (4) din Legea nr. 303/2004, pe perioada suspendării din funcţia de judecător, acestuia nu i se plătesc drepturile salariale, această perioadă nu constituie vechime în profesie, iar judecătorul suspendat nu se supune incompatibilități lor şi interdicțiilor specifice profesiei, prevăzute de art.5 şi 8 din lege, putând desfășura activități producătoare de venituri, deci inclusiv din profesia de avocat.</w:t>
      </w:r>
    </w:p>
    <w:p w14:paraId="0EBB135E"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Art.15 lit. a) din Legea nr. 51/1995, referitor la primul caz de incompatibilitate al avocatului, face referire la activitatea salarizată, ori, în speţă, reclamanta nu desfăşoară la acest moment nici o activitate salarizată care să-i atragă incompatibilitatea cu exercițiul profesiei de avocat. Activitatea salarizată nu exclude existenţa unui raport de serviciu care se află întrerupt sau suspendat în drept si în fapt pentru oricare dintre motivele prevăzute în legile speciale. Prevederea legală evocată instituie un caz de incompatibilitate a avocatului atunci când acesta desfăşoară efectiv şi simultan o activitate care să fie salarizată. În acest sens s-a pronunţat expres Curtea Constituţională prin Decizia nr.297/2014, aceasta fiind obligatorie.</w:t>
      </w:r>
    </w:p>
    <w:p w14:paraId="39E2B69E"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speţă, reclamanta nu desfășoară nicio activitate specifică profesiei de judecător, aspect certificat de Tribunalul B prin adresa nr. 11167/19M/1 noiembrie 2016, iar raportul de serviciu, care se află în continuare suspendat în baza hotărârii C.S.M. nr.71/2015, nu face obiectul unui contract individual de muncă. Interdicţia de a desfăşura activităţi salarizate în cadrul altor profesii, pentru magistrat, asigură independenţa şi imparţialitatea acestuia, iar, pentru avocaţi, asigură libertatea şi independenţa acestora, acestea constituind totodată principii pe care se bazează exercitarea ambelor profesii.</w:t>
      </w:r>
    </w:p>
    <w:p w14:paraId="4984B173" w14:textId="77777777" w:rsidR="00891584" w:rsidRPr="00250C7F" w:rsidRDefault="00891584" w:rsidP="00A71721">
      <w:pPr>
        <w:suppressAutoHyphens/>
        <w:autoSpaceDN w:val="0"/>
        <w:spacing w:after="0" w:line="276" w:lineRule="auto"/>
        <w:ind w:right="-2" w:firstLine="708"/>
        <w:jc w:val="both"/>
        <w:textAlignment w:val="baseline"/>
        <w:rPr>
          <w:rFonts w:ascii="Calibri" w:eastAsia="Calibri" w:hAnsi="Calibri" w:cs="Times New Roman"/>
        </w:rPr>
      </w:pPr>
      <w:r w:rsidRPr="00250C7F">
        <w:rPr>
          <w:rFonts w:ascii="Times New Roman" w:eastAsia="Calibri" w:hAnsi="Times New Roman" w:cs="Times New Roman"/>
          <w:sz w:val="24"/>
          <w:szCs w:val="24"/>
        </w:rPr>
        <w:t xml:space="preserve">Normele juridice care reglementează acest caz de incompatibilitate sunt similare, scopul legii fiind acela de a asigura aplicarea principiilor pe care se bazează cele două profesii. Legea nr.51/1995, chiar şi modificată prin Legea nr.25/2017, nu impune cerinţa ca primirea/exercitarea profesiei de avocat, ca urmare a promovării examenului de intrare în profesie, să fie condiţionată de eliberarea din funcţia anterioară, prin modurile prevăzute de legile speciale, ci interzice doar exerciţiul efectiv al unei activităţi salarizate. În esenţă, incompatibilitatea magistraţilor constă în aceea că nu pot desfăşura nici o altă activitate publică sau privată, cu excepţia activităţilor didactice din învăţământul superior. Pe perioada suspendării din funcţie se suspendă practic şi incompatibilitățile acestora. Având în vedere identitatea de raţiune, atât timp cât avocatul suspendat din exerciţiul profesiei poate exercita profesia de judecător sau procuror, pe perioada suspendării din profesie, şi magistratul suspendat din profesie poate exercita profesia de avocat, pe perioada suspendării sale din funcţie - </w:t>
      </w:r>
      <w:r w:rsidRPr="00250C7F">
        <w:rPr>
          <w:rFonts w:ascii="Times New Roman" w:eastAsia="Calibri" w:hAnsi="Times New Roman" w:cs="Times New Roman"/>
          <w:i/>
          <w:sz w:val="24"/>
          <w:szCs w:val="24"/>
        </w:rPr>
        <w:t>ubi eadem est ratio, ibi idem jus</w:t>
      </w:r>
      <w:r w:rsidRPr="00250C7F">
        <w:rPr>
          <w:rFonts w:ascii="Times New Roman" w:eastAsia="Calibri" w:hAnsi="Times New Roman" w:cs="Times New Roman"/>
          <w:sz w:val="24"/>
          <w:szCs w:val="24"/>
        </w:rPr>
        <w:t xml:space="preserve">. O interpretare contrară ar constitui o discriminare, o încălcare a principiului proporţionalităţii şi totodată o îngrădire a </w:t>
      </w:r>
      <w:r w:rsidRPr="00250C7F">
        <w:rPr>
          <w:rFonts w:ascii="Times New Roman" w:eastAsia="Calibri" w:hAnsi="Times New Roman" w:cs="Times New Roman"/>
          <w:sz w:val="24"/>
          <w:szCs w:val="24"/>
        </w:rPr>
        <w:lastRenderedPageBreak/>
        <w:t>dreptului la muncă şi la exercitarea unei profesii, pentru care reclamanta a parcurs toate etapele prevăzute de lege şi care au fost constatate prin deciziile emise de organele U.N.B.R. şi identificate mai sus. În interpretarea prevederilor art.16 din Legea nr. 51/1995 - forma rezultată după modificarea acesteia prin Legea nr. 25/2017 - prin Decizia nr.248/17 06 2017 Consiliul U.N.B.R. înlocuiește criteriul stabilit de Curtea Constituţională prin Decizia nr.297/2014 pentru aprecierea asupra incompatibilităților.</w:t>
      </w:r>
    </w:p>
    <w:p w14:paraId="029871C2" w14:textId="26225321"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logica motivării acestei decizii incompatibilitatea nu se mai determină prin raportare la exercitarea efectivă şi simultană a unei alte activităţi, ci prin raportare la vocația exercitării unei alte activități, transformându-se excepţia ("incompatibilitatea") în regulă. În realitate însă, art.16 din Legea nr. 51/1995, atât în forma sa actuală, cât şi în cea anterioară, reglementează cazurile excepționale în care avocatul poate desfășura efectiv activitate paralelă (simultană) salarizata, prin derogare de la prevederile art. 15 lit. a) din aceeași lege.</w:t>
      </w:r>
    </w:p>
    <w:p w14:paraId="2D50BEF3"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Art.16 lit. a) – d) din Legea nr.51/1995, modificat prin Legea nr.25/2017, reglementează acele situații în care avocatul, chiar şi desfășurând o activitate salarizată, respectiv aceea de deputat/senator, activități didactice în unitățile de învăţământ juridic superior, activitate literară şi publicistică, arbitru, mediator, conciliator, negociator, consilier fiscal, consilier în proprietate intelectuală, consilier în proprietate industrială, traducător autorizat, administrator sau lichidator, nu se află într-un caz de incompatibilitate, legiuitorul menționând expres că exercitarea profesiei de avocat este compatibilă, numai cu desfășurarea acestor activități salarizate.</w:t>
      </w:r>
    </w:p>
    <w:p w14:paraId="0DBA2ED9"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Pentru aceste motive, solicită respingerea recursurilor formulate.</w:t>
      </w:r>
    </w:p>
    <w:p w14:paraId="3AA3F8A6" w14:textId="2ACBF431"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4.2. Recurentul-pârât Consiliul Uniunii Naţionale a Barourilor din România Consiliul Baroului B a formulat întâmpinare la recursul Consiliului Baroului B, prin care a arătat că susţine recursul formulat de acest pârât.</w:t>
      </w:r>
    </w:p>
    <w:p w14:paraId="3F86CC86"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5. Răspunsul la întâmpinare </w:t>
      </w:r>
    </w:p>
    <w:p w14:paraId="316110D0"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Prin răspunsul comun formulat la întâmpinare de către recurenţii - pârâți s-a solicitat respingerea apărărilor invocate de intimată, reiterându-se, în esenţă, aspecte prezentate prin memoriile de recurs.</w:t>
      </w:r>
    </w:p>
    <w:p w14:paraId="73CED71F"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6. Procedura de soluționare a recursului</w:t>
      </w:r>
    </w:p>
    <w:p w14:paraId="611FBF1D"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cauză a fost parcursă procedura de regularizare a cererilor de recurs şi de efectuare a comunicării actelor de procedură între părţile litigante, prevăzută de art. 486 Cod procedură civilă, coroborat cu art. 490 alin. (2), art. 4711  şi art. 201 alin. (5) şi (6) Cod procedură civilă, cu aplicarea şi a dispoziţiilor O.U.G. nr. 80/2013.</w:t>
      </w:r>
    </w:p>
    <w:p w14:paraId="19F3A94F"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temeiul art. 490 alin.(2), coroborat cu art.4711  şi art.201 alin.(5) şi (6) Cod procedură civilă, prin rezoluţia din data de 23 septembrie 2019, s-a fixat termen de judecată pentru soluţionarea cererilor de recurs la data de 3 februarie 2021, în şedinţă publică, cu citarea părţilor.</w:t>
      </w:r>
    </w:p>
    <w:p w14:paraId="33B2F326"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7. Soluţia şi considerentele Înaltei Curţi asupra recursurilor</w:t>
      </w:r>
    </w:p>
    <w:p w14:paraId="7326BC2A" w14:textId="079FB9C1"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Examinând legalitatea sentinţei r</w:t>
      </w:r>
      <w:r w:rsidR="00CC1589" w:rsidRPr="00250C7F">
        <w:rPr>
          <w:rFonts w:ascii="Times New Roman" w:eastAsia="Calibri" w:hAnsi="Times New Roman" w:cs="Times New Roman"/>
          <w:sz w:val="24"/>
          <w:szCs w:val="24"/>
        </w:rPr>
        <w:t xml:space="preserve">ecurate prin prisma criticilor </w:t>
      </w:r>
      <w:r w:rsidRPr="00250C7F">
        <w:rPr>
          <w:rFonts w:ascii="Times New Roman" w:eastAsia="Calibri" w:hAnsi="Times New Roman" w:cs="Times New Roman"/>
          <w:sz w:val="24"/>
          <w:szCs w:val="24"/>
        </w:rPr>
        <w:t>invocate prin cererile de recurs, a apărărilor formulate prin întâmpinare şi a dispoziţiilor legale incidente, Înalta Curte constată că recursurile sunt nefondate, pentru considerentele ce vor fi expuse în continuare.</w:t>
      </w:r>
    </w:p>
    <w:p w14:paraId="300D7C6A"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Obiectul acţiunii în contencios administrative îl constituie anularea Deciziei nr.248/17.06.2017, adoptată de Consiliul U.N.B.R. şi a Deciziei nr.84/22.06.2017, adoptată de Consiliul Baroului B.</w:t>
      </w:r>
    </w:p>
    <w:p w14:paraId="106AAA61"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Decizia nr. 248/17 iunie 2017, emisă de Consiliul U.N.B.R., s-a admis contestaţia Preşedintelui U.N.B.R. împotriva deciziei Consiliului Baroului B nr.58/24.04.2017, trimițându-se </w:t>
      </w:r>
      <w:r w:rsidRPr="00250C7F">
        <w:rPr>
          <w:rFonts w:ascii="Times New Roman" w:eastAsia="Calibri" w:hAnsi="Times New Roman" w:cs="Times New Roman"/>
          <w:sz w:val="24"/>
          <w:szCs w:val="24"/>
        </w:rPr>
        <w:lastRenderedPageBreak/>
        <w:t>cauza Baroului B pentru reanalizarea cererii reclamantei de înscriere pe Tabloul Avocaţilor Baroului B. În motivarea acestei decizii se retine, în esenţă, că Consiliul Baroului B a omis să se pronunţe cu privire la cererea de înscriere în Tabloul avocaţilor care ar fi trebuit să fie soluţionată după regulile avocaţilor aflaţi în stare de incompatibilitate, pentru că rezolvarea incidentului creat în legătură cu examinarea „incompatibilităţii” nu exclude dreptul celui care a dobândit dreptul de a fi înscris în Tabloul de avocaţi al Baroului de a fi înscris în raport de situaţia sa juridică relativă la incompatibilitate/compatibilitate. S-a mai reţinut că dispoziţiile din Legea nr. 303/2004 nu sunt determinante, acestea tratează incompatibilităţile cu calitatea de judecător sau procuror, însă interesează exclusiv compatibilitatea cu „exerciţiul profesiei de avocat”, problemă care este legal rezervată Legii privind profesia de avocat, care impune identificarea unei reglementări legale exprese care să consacre compatibilitatea calităţii de avocat cu cea de judecător, iar o asemenea reglementare nu există şi nici nu poate fi dedusă printr-o interpretare extensivă a Legii nr. 303/2004. De asemenea, s-a reţinut, în esenţă că Legea nr.25/2017, în vigoare la data emiterii hotărârii nr.58/24.04.2017 a introdus, la art.16 din Legea nr. 51/1995, cuvântul „numai”, transformând enumerarea conţinută de acest articol într-una limitativă, ce nu conţine vreo referire la magistraţi, atrăgând incompatibilitatea lor de plano cu profesia de avocat; deşi ulterioară, în speţă, raporturilor juridice pe care reglementează, Legea nr.25/2017 ar fi aplicabilă totuşi cauzei pentru a evita ultra-activarea legii vechi, care nu mai era în vigoare la data emiterii deciziei nr.58 din 24 aprilie 2017, de către Consiliul Baroului B.</w:t>
      </w:r>
    </w:p>
    <w:p w14:paraId="671703BB"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urma deciziei menţionate, prin Decizia nr. 84/22.06.2017, Consiliul Baroului B a decis, ţinând cont de faptul că reclamanta este doar suspendată din funcţie, având păstrată calitatea de magistrat, că aceasta se află în situaţia de incompatibilitate reglementată de art. 16 din Legea nr. 51/1995 modificată. Totodată, a modificat art. 1 din Decizia Baroului B nr. 69/31 mai 2017, în sensul că a dispus înscrierea doamnei avocat A pe Tabloul avocaţilor incompatibili începând cu data de 22 iunie 2017 şi a suspendat autorizația de funcționare a Cabinetului de avocat ,,A”.</w:t>
      </w:r>
    </w:p>
    <w:p w14:paraId="78F71B7C"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Cu referire la prima critică a recurenților pârâţi, care vizează considerentele primei instanţe prin care s-a reţinut încălcarea principiilor autonomiei şi descentralizării barourilor, pe motiv că potrivit art. 56 alin. (2) lit. f) din Legea nr.51/1995, coroborat cu art. 30 din Statutul profesiei de avocat, consiliul baroului este singura autoritate competentă să decidă asupra stării de incompatibilitate și asupra încetării acesteia, Înalta Curte apreciază că este întemeiată. Astfel, hotărârea Consiliul Baroului B, prin care s-a analizat şi s-a constatat faptul că reclamanta nu se află în situația de incompatibilitate reglementată de art.15 din Legea nr. 51/1995, nu poate fi exclusă de sub controlul de legalitate exercitat de Consiliul U.N.B.R. în temeiul dispoziţiilor art. 66 lit. p) şi s) din Legea nr. 51/1995. Pentru exercitarea unui control de legalitate asupra hotărârilor care privesc deciziile de primire în profesie şi de înscriere pe tabloul avocaţilor în general, nu este necesară enumerarea tuturor actelor supuse unui astfel de control, el fiind justificat pentru toate tipurile de hotărâri care întră în aceste categorii, în scopul de a asigura aplicarea unitară a legii de către consiliile barourilor din România. </w:t>
      </w:r>
    </w:p>
    <w:p w14:paraId="3AE65C3C"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urmare, Înalta Curte nu poate împărtăși considerentul primei instanțe în sensul că este inadmisibilă contestația Preşedintelui U.N.B.R. împotriva Hotărârii nr.58/24.04.2017 a Consiliului Baroului B, astfel că Decizia nr.248/17.06.2017 a Consiliului U.N.B.R. este rezultatul unei sesizări nelegale a Consiliului U.N.B.R. </w:t>
      </w:r>
    </w:p>
    <w:p w14:paraId="326D2AC3"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Este adevărat că prevederile art. 25 lit. m) și art. 36 alin. (2) lit. i) din Hotărârea Consiliului U.N.B.R. nr.5/2011 de aprobare a Regulamentului de organizare şi funcționare a U.N.B.R. şi de </w:t>
      </w:r>
      <w:r w:rsidRPr="00250C7F">
        <w:rPr>
          <w:rFonts w:ascii="Times New Roman" w:eastAsia="Calibri" w:hAnsi="Times New Roman" w:cs="Times New Roman"/>
          <w:sz w:val="24"/>
          <w:szCs w:val="24"/>
        </w:rPr>
        <w:lastRenderedPageBreak/>
        <w:t>desfășurare a ședințelor U.N.B.R., care enumeră categoriile de hotărâri ale consiliilor barourilor împotriva cărora Preşedintele U.N.B.R. poate declara contestaţie în faţa Consiliului U.N.B.R., nu menționează în mod explicit hotărârile de înscriere pe tablou, însă este lipsită de orice raţionament susţinerea potrivit căreia poate fi contestat doar refuzul înscrierii, reînscrierii sau menţinerii pe Tabloul avocaţilor (pct.4 de la lit. m), pentru că acestea sunt menţionate în mod explicit, însă hotărârile de admitere a unei înscrierii, care, în principiu, sunt date în aplicarea acelorași norme şi fac parte din aceeași categorie de hotărâri, sunt excluse controlului.</w:t>
      </w:r>
    </w:p>
    <w:p w14:paraId="210E40D3"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Este de asemenea adevărat că normele care reglementează organizarea şi funcționarea U.N.B.R., organele profesiei de avocat şi competenţele acestora sunt în vigoare, fiind adoptate de pârât în virtutea dreptului la autoreglementare conferit de Legea nr. 51/1995 şi pentru punerea în aplicare a acesteia, însă interpretarea acestor norme în spiritul şi lumina legii, şi nu împotriva dispoziţiilor exprese ale acesteia, nu echivalează nicidecum cu depășirea cadrului procesual dedus judecății. </w:t>
      </w:r>
    </w:p>
    <w:p w14:paraId="3AD9AB28"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Cu privire la criticile recurenţilor pârâţi prin care se susţine legalitatea înscrierii pe tabloul avocaţilor incompatibili conform art. 24 alin. (3) teza a II şi art. 25 alin. (1) din Legea nr. 51/1995, Înalta Curte apreciază că sunt neîntemeiate, iar prima instanță a aplicat în mod corect dispozițiile art. 15 şi 16  din Legea nr. 51/1995 constatând că reclamanta nu s-a aflat în niciunul din cazurile legale de incompatibilitate.</w:t>
      </w:r>
    </w:p>
    <w:p w14:paraId="4B87E277"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Potrivit art. 15 din Legea nr. 51/1995, modificată, „Exercitarea profesiei de avocat este incompatibilă cu: a) activitatea salarizată în cadrul altor profesii decât cea de avocat; b) ocupaţiile care lezează demnitatea şi independenţa profesiei de avocat sau bunele moravuri; c) exercitarea nemijlocită de fapte materiale de comerţ.”</w:t>
      </w:r>
    </w:p>
    <w:p w14:paraId="3707CD44"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Potrivit art. 16 din Legea nr. 51/1995, modificată, exercitarea profesiei de avocat este compatibilă numai cu: a) calitatea de deputat sau senator, consilier în consiliile locale sau județene; b) activități și funcții didactice în învățământul juridic superior; c) activitatea literară și publicistică; d) calitatea de arbitru, mediator, conciliator sau negociator, consilier fiscal, consilier în proprietate intelectuală, consilier în proprietate industrială, traducător autorizat, administrator sau lichidator în cadrul procedurilor de reorganizare și lichidare judiciară, în condițiile legii; e) alte activități prevăzute de lege.</w:t>
      </w:r>
    </w:p>
    <w:p w14:paraId="415A81F8"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Astfel, art. 62 alin. (3) şi (4) din Legea nr.303/2004 privind statutul judecătorilor şi procurorilor, prevede: </w:t>
      </w:r>
    </w:p>
    <w:p w14:paraId="4838DFE2"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(3) În perioada suspendării din funcție, judecătorului şi procurorului nu i se plătesc drepturile salariale. Această perioadă nu constituie vechime în magistratură.</w:t>
      </w:r>
    </w:p>
    <w:p w14:paraId="48F1C44E"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(4) În perioada suspendării din funcție, judecătorului sau procurorului nu îi sunt aplicabile dispozițiile referitoare la interdicțiile şi incompatibilitățile prevăzute la art. 5 şi 8.</w:t>
      </w:r>
    </w:p>
    <w:p w14:paraId="7E04D10E"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Prin urmare, în condiţiile suspendării din funcţie, reclamantei, în calitate de magistrat (judecător), nu doar că îi sunt inaplicabile dispoziţiile referitoare la interdicţiile şi incompatibilităţile specifice funcției de magistrat, dar este incontestabil că aceasta nu a exercitat activități specifice funcției de judecător.</w:t>
      </w:r>
    </w:p>
    <w:p w14:paraId="19D4F56F"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Înalta Curte împărtășește întru-totul concluzia primei instanțe în sensul că textul art. 15 alin. (1) lit. a) din Legea nr. 51/1995 nu lasă loc de interpretare atunci când face referire la interdicția de a desfășura o „activitate salarizată”, iar nu la cea de a deţine simultan mai multe funcții ale căror exercitare este suspendată. Textul din Legea nr. 51/1995 nu prevede incompatibilitatea cu o altă „funcţie”, ci cu o „activitate salarizată”. De altfel, diferențierea este </w:t>
      </w:r>
      <w:r w:rsidRPr="00250C7F">
        <w:rPr>
          <w:rFonts w:ascii="Times New Roman" w:eastAsia="Calibri" w:hAnsi="Times New Roman" w:cs="Times New Roman"/>
          <w:sz w:val="24"/>
          <w:szCs w:val="24"/>
        </w:rPr>
        <w:lastRenderedPageBreak/>
        <w:t>justificată de scopul urmărit de legiuitor prin instituirea interdicţiei din legislaţia care reglementează exercitarea profesiei de avocat prin prohibirea unei activităţi salarizate în cadrul altor profesii care nu se încadrează la categoriile exceptate de art. 16 din acelaşi act normativ.</w:t>
      </w:r>
    </w:p>
    <w:p w14:paraId="19D853CE" w14:textId="7777777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Acest scop a fost explicat de Curtea Constituţională prin Decizia nr. 297 din 22 mai 2014, publicată în Monitorul Oficial nr. 521 din 14.07.2014, prin care, admiţându-se excepţia de neconstituţionalitate a art. 25 din Legii nr.51/1995, în privinţa unei sintagme a explicat că „din interpretarea sistematică a dispoziţiilor art. 15 şi a celor ale art. 25 alin. (1) din Legea nr. 51/1995, Curtea reţine că, în cazul avocaturii, starea de incompatibilitate nu intervine prin simplul fapt al ocupării simultane a două funcţii, ci, în cazul acestei profesii, relevantă în stabilirea stării de incompatibilitate este exercitarea simultană şi efectivă a acelor funcţii/atribuţii” (...). Curtea reţine că scopul urmărit de legiuitor este acela de a crea o independenţă efectivă a avocaţilor în exercitarea profesiei lor, prin evitarea existenţei unor influenţe de natură să creeze suspiciuni referitoare la desfăşurarea corectă a actului de justiţie, ceea ce reprezintă un scop legitim. Referitor la existenţa unui raport de proporţionalitate rezonabil între scopul urmărit şi mijloacele utilizate pentru atingerea acestuia. Curtea reţine că, în esenţă, principiul proporţionalităţii impune ca mijloacele utilizate să rămână în limitele a ceea ce este adecvat şi necesar pentru atingerea scopului avut în vedere”.</w:t>
      </w:r>
    </w:p>
    <w:p w14:paraId="1B13CD52" w14:textId="77777777" w:rsidR="00891584" w:rsidRPr="00250C7F" w:rsidRDefault="00891584" w:rsidP="00A71721">
      <w:pPr>
        <w:suppressAutoHyphens/>
        <w:autoSpaceDN w:val="0"/>
        <w:spacing w:after="0" w:line="276" w:lineRule="auto"/>
        <w:ind w:right="-2" w:firstLine="708"/>
        <w:jc w:val="both"/>
        <w:textAlignment w:val="baseline"/>
        <w:rPr>
          <w:rFonts w:ascii="Calibri" w:eastAsia="Calibri" w:hAnsi="Calibri" w:cs="Times New Roman"/>
        </w:rPr>
      </w:pPr>
      <w:r w:rsidRPr="00250C7F">
        <w:rPr>
          <w:rFonts w:ascii="Times New Roman" w:eastAsia="Calibri" w:hAnsi="Times New Roman" w:cs="Times New Roman"/>
          <w:sz w:val="24"/>
          <w:szCs w:val="24"/>
        </w:rPr>
        <w:t xml:space="preserve">Înalta Curte apreciază că este neîntemeiată şi critica prin care recurenţii pârâţi au invocat  încălcarea principiului de drept </w:t>
      </w:r>
      <w:r w:rsidRPr="00250C7F">
        <w:rPr>
          <w:rFonts w:ascii="Times New Roman" w:eastAsia="Calibri" w:hAnsi="Times New Roman" w:cs="Times New Roman"/>
          <w:i/>
          <w:sz w:val="24"/>
          <w:szCs w:val="24"/>
        </w:rPr>
        <w:t>tempus regit actum</w:t>
      </w:r>
      <w:r w:rsidRPr="00250C7F">
        <w:rPr>
          <w:rFonts w:ascii="Times New Roman" w:eastAsia="Calibri" w:hAnsi="Times New Roman" w:cs="Times New Roman"/>
          <w:sz w:val="24"/>
          <w:szCs w:val="24"/>
        </w:rPr>
        <w:t xml:space="preserve"> în considerarea faptului că prima instanţă nu face distincția intre dobândirea calității de avocat, la data promovării examenului de intrare in profesie si momentul începerii efective a exercitării profesiei de avocat. Prin critica formulată, fără a argumenta în concret în ce constă încălcarea principiului enunţat de către prima instanţă, recurentul pârât Consiliul Baroului B reiterează apărarea de fond potrivit căreia exercitarea profesiei de avocat este reglementată in Capitolul III, Secţiunea I, Drepturile Avocaților, articolul 28, potrivit căruia exercitarea profesiei de avocat este posibilă numai de la data înscrierii in tablou, ceea ce înseamnă, printr-o interpretare per a contrario, că avocatul care a promovat examenul de intrare in profesie, dar încă nu a fost înscris in tabloul avocaților, nu poate exercita profesia. </w:t>
      </w:r>
    </w:p>
    <w:p w14:paraId="61B88134" w14:textId="77777777" w:rsidR="00891584" w:rsidRPr="00250C7F" w:rsidRDefault="00891584" w:rsidP="00A71721">
      <w:pPr>
        <w:suppressAutoHyphens/>
        <w:autoSpaceDN w:val="0"/>
        <w:spacing w:after="0" w:line="276" w:lineRule="auto"/>
        <w:ind w:right="-2" w:firstLine="709"/>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acest context, prima instanţă a reţinut că la data verificării stării de incompatibilitate, prin emiterea Hotărârii nr. 58/24.04.2017 prin care Consiliul Baroului M a constatat că reclamanta nu se află în situația de incompatibilitate prevăzută de art. 15 din Legea nr. 51/1995 era în vigoare art. 16 din Legea nr 51/1995, modificată prin Legea nr. 25/2017, în vigoare de la data de 31.03.2017, astfel încât nu rezultă că analiza stării de compatibilitate s-ar fi efectuat fără a fi avute în vedere modificările legislative intervenite. </w:t>
      </w:r>
    </w:p>
    <w:p w14:paraId="7E418D7D" w14:textId="4819DD85" w:rsidR="00891584" w:rsidRPr="00250C7F" w:rsidRDefault="00891584" w:rsidP="00A71721">
      <w:pPr>
        <w:suppressAutoHyphens/>
        <w:autoSpaceDN w:val="0"/>
        <w:spacing w:after="0" w:line="276" w:lineRule="auto"/>
        <w:ind w:right="-2" w:firstLine="709"/>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consecinţă, Înalta Curte, validând concluzia primei instanţe în sensul că Decizia nr. 248/17.06.2017 a Consiliului UNBR a fost emisă cu aplicarea greşită a prevederilor legale incidente în materia incompatibilităţilor privind profesia de avocat, apreciază că motivul de recurs prevăzut de art. 488 alin.(1) pct.8 Cod de procedură civilă nu este incident în cauză. </w:t>
      </w:r>
    </w:p>
    <w:p w14:paraId="23542430" w14:textId="6DFD1C5A" w:rsidR="00891584" w:rsidRPr="00250C7F" w:rsidRDefault="00891584" w:rsidP="00A71721">
      <w:pPr>
        <w:suppressAutoHyphens/>
        <w:autoSpaceDN w:val="0"/>
        <w:spacing w:after="0" w:line="276" w:lineRule="auto"/>
        <w:ind w:right="-2" w:firstLine="709"/>
        <w:jc w:val="both"/>
        <w:textAlignment w:val="baseline"/>
        <w:rPr>
          <w:rFonts w:ascii="Times New Roman" w:eastAsia="Calibri" w:hAnsi="Times New Roman" w:cs="Times New Roman"/>
          <w:sz w:val="24"/>
          <w:szCs w:val="24"/>
        </w:rPr>
      </w:pPr>
    </w:p>
    <w:p w14:paraId="22BA8C47" w14:textId="5CF1B83B" w:rsidR="00891584" w:rsidRPr="00250C7F" w:rsidRDefault="00891584" w:rsidP="00A71721">
      <w:pPr>
        <w:suppressAutoHyphens/>
        <w:autoSpaceDN w:val="0"/>
        <w:spacing w:after="0" w:line="276" w:lineRule="auto"/>
        <w:ind w:right="-2" w:firstLine="708"/>
        <w:jc w:val="both"/>
        <w:textAlignment w:val="baseline"/>
        <w:rPr>
          <w:rFonts w:ascii="Calibri" w:eastAsia="Calibri" w:hAnsi="Calibri" w:cs="Times New Roman"/>
        </w:rPr>
      </w:pPr>
      <w:r w:rsidRPr="00250C7F">
        <w:rPr>
          <w:rFonts w:ascii="Times New Roman" w:eastAsia="Calibri" w:hAnsi="Times New Roman" w:cs="Times New Roman"/>
          <w:b/>
          <w:sz w:val="24"/>
          <w:szCs w:val="24"/>
        </w:rPr>
        <w:t xml:space="preserve">Notă: </w:t>
      </w:r>
      <w:r w:rsidRPr="00250C7F">
        <w:rPr>
          <w:rFonts w:ascii="Times New Roman" w:eastAsia="Calibri" w:hAnsi="Times New Roman" w:cs="Times New Roman"/>
          <w:sz w:val="24"/>
          <w:szCs w:val="24"/>
        </w:rPr>
        <w:t>În considerentele hotărârii pronunțate în cauză, Înalta Curte a făcut referire la  Decizia C.C.R. nr. 297 din 22 mai 2014, publicată în Monitorul Oficial nr. 521 din 14.07.2014, în care este explicitat scopul urmărit de legiuitor prin instituirea interdicției cuprins</w:t>
      </w:r>
      <w:r w:rsidR="00EF5583" w:rsidRPr="00250C7F">
        <w:rPr>
          <w:rFonts w:ascii="Times New Roman" w:eastAsia="Calibri" w:hAnsi="Times New Roman" w:cs="Times New Roman"/>
          <w:sz w:val="24"/>
          <w:szCs w:val="24"/>
        </w:rPr>
        <w:t>e</w:t>
      </w:r>
      <w:r w:rsidRPr="00250C7F">
        <w:rPr>
          <w:rFonts w:ascii="Times New Roman" w:eastAsia="Calibri" w:hAnsi="Times New Roman" w:cs="Times New Roman"/>
          <w:sz w:val="24"/>
          <w:szCs w:val="24"/>
        </w:rPr>
        <w:t xml:space="preserve"> în art. 15 alin. (1) lit. a) din Legea nr. 51/1995. </w:t>
      </w:r>
    </w:p>
    <w:p w14:paraId="69A45103" w14:textId="40359CFB"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Prin această decizie, Curtea Constituțională a constatat că sintagma „</w:t>
      </w:r>
      <w:r w:rsidRPr="00250C7F">
        <w:rPr>
          <w:rFonts w:ascii="Times New Roman" w:eastAsia="Calibri" w:hAnsi="Times New Roman" w:cs="Times New Roman"/>
          <w:i/>
          <w:sz w:val="24"/>
          <w:szCs w:val="24"/>
        </w:rPr>
        <w:t xml:space="preserve">care trebuie rezolvată în termenul de două luni de la emiterea deciziei” </w:t>
      </w:r>
      <w:r w:rsidRPr="00250C7F">
        <w:rPr>
          <w:rFonts w:ascii="Times New Roman" w:eastAsia="Calibri" w:hAnsi="Times New Roman" w:cs="Times New Roman"/>
          <w:sz w:val="24"/>
          <w:szCs w:val="24"/>
        </w:rPr>
        <w:t>prevăzută în art. 25 alin. (2) din Legea nr. 51/1995 pentru organizarea și exercitarea profesiei de avocat este neconstituțională.</w:t>
      </w:r>
    </w:p>
    <w:p w14:paraId="63D41216" w14:textId="1CEE3942" w:rsidR="00EF5583" w:rsidRPr="00250C7F" w:rsidRDefault="00EF5583" w:rsidP="00A71721">
      <w:pPr>
        <w:suppressAutoHyphens/>
        <w:autoSpaceDN w:val="0"/>
        <w:spacing w:after="0" w:line="276" w:lineRule="auto"/>
        <w:ind w:right="-2" w:firstLine="708"/>
        <w:jc w:val="both"/>
        <w:textAlignment w:val="baseline"/>
        <w:rPr>
          <w:rFonts w:ascii="Times New Roman" w:eastAsia="Calibri" w:hAnsi="Times New Roman" w:cs="Times New Roman"/>
          <w:i/>
          <w:sz w:val="24"/>
          <w:szCs w:val="24"/>
        </w:rPr>
      </w:pPr>
      <w:r w:rsidRPr="00250C7F">
        <w:rPr>
          <w:rFonts w:ascii="Times New Roman" w:eastAsia="Calibri" w:hAnsi="Times New Roman" w:cs="Times New Roman"/>
          <w:sz w:val="24"/>
          <w:szCs w:val="24"/>
        </w:rPr>
        <w:t xml:space="preserve">Textul supus controlului de constituţionalitate avea următorul conţinut: </w:t>
      </w:r>
      <w:r w:rsidRPr="00250C7F">
        <w:rPr>
          <w:rFonts w:ascii="Times New Roman" w:eastAsia="Calibri" w:hAnsi="Times New Roman" w:cs="Times New Roman"/>
          <w:i/>
          <w:sz w:val="24"/>
          <w:szCs w:val="24"/>
        </w:rPr>
        <w:t>„</w:t>
      </w:r>
      <w:r w:rsidR="004A399B">
        <w:rPr>
          <w:rFonts w:ascii="Times New Roman" w:eastAsia="Calibri" w:hAnsi="Times New Roman" w:cs="Times New Roman"/>
          <w:i/>
          <w:sz w:val="24"/>
          <w:szCs w:val="24"/>
        </w:rPr>
        <w:t>Î</w:t>
      </w:r>
      <w:bookmarkStart w:id="6" w:name="_GoBack"/>
      <w:bookmarkEnd w:id="6"/>
      <w:r w:rsidRPr="00250C7F">
        <w:rPr>
          <w:rFonts w:ascii="Times New Roman" w:eastAsia="Calibri" w:hAnsi="Times New Roman" w:cs="Times New Roman"/>
          <w:i/>
          <w:sz w:val="24"/>
          <w:szCs w:val="24"/>
        </w:rPr>
        <w:t>n cazurile în care există incompatibilitate, decizia de primire în profesie va produce efecte numai de la data încetării stării de incompatibilitate, care trebuie rezolvată în termen de două luni de la emiterea deciziei.”</w:t>
      </w:r>
    </w:p>
    <w:p w14:paraId="5FC4DC65" w14:textId="078171DD"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esență, caracterul neconstituțional al acestor dispoziții legale a fost reținut în raport cu principiul nediscriminării</w:t>
      </w:r>
      <w:r w:rsidR="00EF5583" w:rsidRPr="00250C7F">
        <w:rPr>
          <w:rFonts w:ascii="Times New Roman" w:eastAsia="Calibri" w:hAnsi="Times New Roman" w:cs="Times New Roman"/>
          <w:sz w:val="24"/>
          <w:szCs w:val="24"/>
        </w:rPr>
        <w:t xml:space="preserve">, </w:t>
      </w:r>
      <w:r w:rsidRPr="00250C7F">
        <w:rPr>
          <w:rFonts w:ascii="Times New Roman" w:eastAsia="Calibri" w:hAnsi="Times New Roman" w:cs="Times New Roman"/>
          <w:sz w:val="24"/>
          <w:szCs w:val="24"/>
        </w:rPr>
        <w:t>consacrat de prevederile art. 16 alin. (1)</w:t>
      </w:r>
      <w:r w:rsidR="00EF5583" w:rsidRPr="00250C7F">
        <w:rPr>
          <w:rFonts w:ascii="Times New Roman" w:eastAsia="Calibri" w:hAnsi="Times New Roman" w:cs="Times New Roman"/>
          <w:sz w:val="24"/>
          <w:szCs w:val="24"/>
        </w:rPr>
        <w:t xml:space="preserve"> din Constituţia României.</w:t>
      </w:r>
    </w:p>
    <w:p w14:paraId="1E47F5A5" w14:textId="56AA896C"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În acest sens, Curtea Constituțională a reținut</w:t>
      </w:r>
      <w:r w:rsidR="00EF5583" w:rsidRPr="00250C7F">
        <w:rPr>
          <w:rFonts w:ascii="Times New Roman" w:eastAsia="Calibri" w:hAnsi="Times New Roman" w:cs="Times New Roman"/>
          <w:sz w:val="24"/>
          <w:szCs w:val="24"/>
        </w:rPr>
        <w:t xml:space="preserve"> </w:t>
      </w:r>
      <w:r w:rsidRPr="00250C7F">
        <w:rPr>
          <w:rFonts w:ascii="Times New Roman" w:eastAsia="Calibri" w:hAnsi="Times New Roman" w:cs="Times New Roman"/>
          <w:sz w:val="24"/>
          <w:szCs w:val="24"/>
        </w:rPr>
        <w:t xml:space="preserve">că dispozițiile Legii nr. 51/1995 </w:t>
      </w:r>
      <w:r w:rsidR="00743B23" w:rsidRPr="00250C7F">
        <w:rPr>
          <w:rFonts w:ascii="Times New Roman" w:eastAsia="Calibri" w:hAnsi="Times New Roman" w:cs="Times New Roman"/>
          <w:sz w:val="24"/>
          <w:szCs w:val="24"/>
        </w:rPr>
        <w:t>operează</w:t>
      </w:r>
      <w:r w:rsidRPr="00250C7F">
        <w:rPr>
          <w:rFonts w:ascii="Times New Roman" w:eastAsia="Calibri" w:hAnsi="Times New Roman" w:cs="Times New Roman"/>
          <w:sz w:val="24"/>
          <w:szCs w:val="24"/>
        </w:rPr>
        <w:t xml:space="preserve"> cu două noțiuni diferite, anume primirea în profesia de avocat și exercitarea acestei profesii, fără ca acestea să se suprapună, iar din interpretarea sistematică a dispozițiilor art. 15 și a celor ale art. 25 alin. (1) din Legea nr. 51/1995, reiese că</w:t>
      </w:r>
      <w:r w:rsidR="00743B23" w:rsidRPr="00250C7F">
        <w:rPr>
          <w:rFonts w:ascii="Times New Roman" w:eastAsia="Calibri" w:hAnsi="Times New Roman" w:cs="Times New Roman"/>
          <w:sz w:val="24"/>
          <w:szCs w:val="24"/>
        </w:rPr>
        <w:t>,</w:t>
      </w:r>
      <w:r w:rsidRPr="00250C7F">
        <w:rPr>
          <w:rFonts w:ascii="Times New Roman" w:eastAsia="Calibri" w:hAnsi="Times New Roman" w:cs="Times New Roman"/>
          <w:sz w:val="24"/>
          <w:szCs w:val="24"/>
        </w:rPr>
        <w:t xml:space="preserve"> în cazul avocaturii, starea de incompatibilitate nu intervine prin simplul fapt al ocupării simultane a două funcții,</w:t>
      </w:r>
      <w:r w:rsidR="00743B23" w:rsidRPr="00250C7F">
        <w:rPr>
          <w:rFonts w:ascii="Times New Roman" w:eastAsia="Calibri" w:hAnsi="Times New Roman" w:cs="Times New Roman"/>
          <w:sz w:val="24"/>
          <w:szCs w:val="24"/>
        </w:rPr>
        <w:t xml:space="preserve"> </w:t>
      </w:r>
      <w:r w:rsidRPr="00250C7F">
        <w:rPr>
          <w:rFonts w:ascii="Times New Roman" w:eastAsia="Calibri" w:hAnsi="Times New Roman" w:cs="Times New Roman"/>
          <w:sz w:val="24"/>
          <w:szCs w:val="24"/>
        </w:rPr>
        <w:t xml:space="preserve">relevantă în stabilirea stării de incompatibilitate </w:t>
      </w:r>
      <w:r w:rsidR="00743B23" w:rsidRPr="00250C7F">
        <w:rPr>
          <w:rFonts w:ascii="Times New Roman" w:eastAsia="Calibri" w:hAnsi="Times New Roman" w:cs="Times New Roman"/>
          <w:sz w:val="24"/>
          <w:szCs w:val="24"/>
        </w:rPr>
        <w:t>fiind</w:t>
      </w:r>
      <w:r w:rsidRPr="00250C7F">
        <w:rPr>
          <w:rFonts w:ascii="Times New Roman" w:eastAsia="Calibri" w:hAnsi="Times New Roman" w:cs="Times New Roman"/>
          <w:sz w:val="24"/>
          <w:szCs w:val="24"/>
        </w:rPr>
        <w:t xml:space="preserve"> exercitarea simultană și efectivă a acelor funcții/atribuții.</w:t>
      </w:r>
    </w:p>
    <w:p w14:paraId="49A78472" w14:textId="1B30BF96"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Curtea Constituțională a observat că, deși în cazul avocaturii incompatibilitatea este indisolubil legată de exercitarea efectivă a acestei profesii, efectul constatării stării de incompatibilitate este diferit în funcție de momentul în care aceasta intervine. Astfel, dacă incompatibilitatea intervine după primirea în profesie, ca efect al constatării acestei stări, persoanele în cauză sunt trecute pe tabloul avocaților incompatibili, în vreme ce în cazul în care starea de incompatibilitate este chiar efectul primirii în profesia de avocat, persoana nerenunțând la funcția deținută anterior, în termen de două luni de la emiterea deciziei de primire în profesie, ca efect al constatării acestei stări, persoanei în cauză i se aplică o veritabilă sancțiune, aceea a excluderii din profesie. Așa fiind, este evident că pentru persoane aflate în situații analoage - persoane primite în profesie de avocat care se află</w:t>
      </w:r>
      <w:r w:rsidR="00743B23" w:rsidRPr="00250C7F">
        <w:rPr>
          <w:rFonts w:ascii="Times New Roman" w:eastAsia="Calibri" w:hAnsi="Times New Roman" w:cs="Times New Roman"/>
          <w:sz w:val="24"/>
          <w:szCs w:val="24"/>
        </w:rPr>
        <w:t xml:space="preserve">  </w:t>
      </w:r>
      <w:r w:rsidRPr="00250C7F">
        <w:rPr>
          <w:rFonts w:ascii="Times New Roman" w:eastAsia="Calibri" w:hAnsi="Times New Roman" w:cs="Times New Roman"/>
          <w:sz w:val="24"/>
          <w:szCs w:val="24"/>
        </w:rPr>
        <w:t xml:space="preserve"> într-o stare de incompatibilitate - se instituie un tratament juridic diferit.</w:t>
      </w:r>
    </w:p>
    <w:p w14:paraId="3A90EA86" w14:textId="554FD48D" w:rsidR="00891584" w:rsidRPr="00250C7F" w:rsidRDefault="00743B23"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acest context, </w:t>
      </w:r>
      <w:r w:rsidR="00891584" w:rsidRPr="00250C7F">
        <w:rPr>
          <w:rFonts w:ascii="Times New Roman" w:eastAsia="Calibri" w:hAnsi="Times New Roman" w:cs="Times New Roman"/>
          <w:sz w:val="24"/>
          <w:szCs w:val="24"/>
        </w:rPr>
        <w:t xml:space="preserve">Curtea Constituțională a reținut că scopul urmărit de legiuitor este acela de a crea o independență efectivă a avocaților în exercitarea profesiei lor, prin evitarea existenței unor influențe de natură să creeze suspiciuni referitoare la desfășurarea corectă a actului de justiție, ceea ce reprezintă un scop legitim. </w:t>
      </w:r>
    </w:p>
    <w:p w14:paraId="6481D9BD" w14:textId="5E124A57"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Referitor, la existența unui raport de proporționalitate rezonabil între scopul urmărit și mijloacele utilizate pentru atingerea acestuia, Curtea Constituțională a reținut că, în esență, principiul proporționalității impune ca mijloacele utilizate să rămână în limitele a ceea ce este adecvat și necesar pentru atingerea scopului avut în vedere</w:t>
      </w:r>
      <w:r w:rsidR="00743B23" w:rsidRPr="00250C7F">
        <w:rPr>
          <w:rFonts w:ascii="Times New Roman" w:eastAsia="Calibri" w:hAnsi="Times New Roman" w:cs="Times New Roman"/>
          <w:sz w:val="24"/>
          <w:szCs w:val="24"/>
        </w:rPr>
        <w:t xml:space="preserve">, în </w:t>
      </w:r>
      <w:r w:rsidRPr="00250C7F">
        <w:rPr>
          <w:rFonts w:ascii="Times New Roman" w:eastAsia="Calibri" w:hAnsi="Times New Roman" w:cs="Times New Roman"/>
          <w:sz w:val="24"/>
          <w:szCs w:val="24"/>
        </w:rPr>
        <w:t xml:space="preserve">evaluarea proporționalității </w:t>
      </w:r>
      <w:r w:rsidR="00743B23" w:rsidRPr="00250C7F">
        <w:rPr>
          <w:rFonts w:ascii="Times New Roman" w:eastAsia="Calibri" w:hAnsi="Times New Roman" w:cs="Times New Roman"/>
          <w:sz w:val="24"/>
          <w:szCs w:val="24"/>
        </w:rPr>
        <w:t>fiind</w:t>
      </w:r>
      <w:r w:rsidRPr="00250C7F">
        <w:rPr>
          <w:rFonts w:ascii="Times New Roman" w:eastAsia="Calibri" w:hAnsi="Times New Roman" w:cs="Times New Roman"/>
          <w:sz w:val="24"/>
          <w:szCs w:val="24"/>
        </w:rPr>
        <w:t xml:space="preserve"> relevant dacă obiectivul urmărit ar putea fi îndeplinit prin mijloace mai puțin discriminatorii decât cele folosite. Sub acest aspect, Curtea Constituțională a apreciat că scopul urmărit putea fi atins prin trecerea avocaților aflați în stare de incompatibilitate la data primirii în profesie pe tabloul avocaților incompatibili, </w:t>
      </w:r>
      <w:r w:rsidR="00743B23" w:rsidRPr="00250C7F">
        <w:rPr>
          <w:rFonts w:ascii="Times New Roman" w:eastAsia="Calibri" w:hAnsi="Times New Roman" w:cs="Times New Roman"/>
          <w:sz w:val="24"/>
          <w:szCs w:val="24"/>
        </w:rPr>
        <w:t xml:space="preserve">din oficiu sau la cerere, </w:t>
      </w:r>
      <w:r w:rsidRPr="00250C7F">
        <w:rPr>
          <w:rFonts w:ascii="Times New Roman" w:eastAsia="Calibri" w:hAnsi="Times New Roman" w:cs="Times New Roman"/>
          <w:sz w:val="24"/>
          <w:szCs w:val="24"/>
        </w:rPr>
        <w:t>astfel cum, de altfel, se întâmplă cu acei avocați a căror stare de incompatibilitate survine după primirea în profesie.</w:t>
      </w:r>
    </w:p>
    <w:p w14:paraId="648B174D" w14:textId="7EBAD7B9" w:rsidR="00891584"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urmare, Curtea Constituțională a constatat că instituirea, în cazul primei categorii de avocați, a obligației încetării stării de incompatibilitate în termen de două luni de la emiterea deciziei de primire în profesie, cu consecința, în cazul neîndeplinirii acestei obligații, a excluderii din profesie, este stabilită o veritabilă sancțiune, care depășește limitele a ceea ce este adecvat și necesar pentru atingerea scopului avut în vedere. </w:t>
      </w:r>
    </w:p>
    <w:p w14:paraId="516A00BC" w14:textId="4BAC4BE1" w:rsidR="00743B23" w:rsidRPr="00250C7F" w:rsidRDefault="00891584" w:rsidP="00A71721">
      <w:pPr>
        <w:suppressAutoHyphens/>
        <w:autoSpaceDN w:val="0"/>
        <w:spacing w:after="0" w:line="276" w:lineRule="auto"/>
        <w:ind w:right="-2" w:firstLine="708"/>
        <w:jc w:val="both"/>
        <w:textAlignment w:val="baseline"/>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Astfel, constatând că mijloacele utilizate de legiuitor nu au fost proporționale cu scopul urmărit, Curtea Constituțională a reținut încălcarea principiului nediscriminării consacrat de prevederile art. 16 alin. (1) din Constituți</w:t>
      </w:r>
      <w:r w:rsidR="00743B23" w:rsidRPr="00250C7F">
        <w:rPr>
          <w:rFonts w:ascii="Times New Roman" w:eastAsia="Calibri" w:hAnsi="Times New Roman" w:cs="Times New Roman"/>
          <w:sz w:val="24"/>
          <w:szCs w:val="24"/>
        </w:rPr>
        <w:t>a României.</w:t>
      </w:r>
    </w:p>
    <w:p w14:paraId="2BE7D2AD" w14:textId="32D9134D" w:rsidR="00743B23" w:rsidRPr="00250C7F" w:rsidRDefault="00CC1589" w:rsidP="00A71721">
      <w:pPr>
        <w:suppressAutoHyphens/>
        <w:autoSpaceDN w:val="0"/>
        <w:spacing w:after="0" w:line="276" w:lineRule="auto"/>
        <w:ind w:right="-2"/>
        <w:jc w:val="right"/>
        <w:textAlignment w:val="baseline"/>
        <w:rPr>
          <w:rFonts w:ascii="Times New Roman" w:eastAsia="Calibri" w:hAnsi="Times New Roman" w:cs="Times New Roman"/>
          <w:i/>
          <w:sz w:val="24"/>
          <w:szCs w:val="24"/>
        </w:rPr>
      </w:pPr>
      <w:r w:rsidRPr="00250C7F">
        <w:rPr>
          <w:rFonts w:ascii="Times New Roman" w:eastAsia="Calibri" w:hAnsi="Times New Roman" w:cs="Times New Roman"/>
          <w:i/>
          <w:sz w:val="24"/>
          <w:szCs w:val="24"/>
        </w:rPr>
        <w:t xml:space="preserve">  </w:t>
      </w:r>
      <w:r w:rsidR="00743B23" w:rsidRPr="00250C7F">
        <w:rPr>
          <w:rFonts w:ascii="Times New Roman" w:eastAsia="Calibri" w:hAnsi="Times New Roman" w:cs="Times New Roman"/>
          <w:i/>
          <w:sz w:val="24"/>
          <w:szCs w:val="24"/>
        </w:rPr>
        <w:t>(Notă întocmită de magistrat-asistent Tabita Maftei).</w:t>
      </w:r>
    </w:p>
    <w:p w14:paraId="7BDB94E6" w14:textId="0976B570" w:rsidR="00743B23" w:rsidRPr="00250C7F" w:rsidRDefault="00743B23" w:rsidP="00332ED0">
      <w:pPr>
        <w:suppressAutoHyphens/>
        <w:autoSpaceDN w:val="0"/>
        <w:spacing w:after="0" w:line="276" w:lineRule="auto"/>
        <w:ind w:right="-2"/>
        <w:jc w:val="both"/>
        <w:textAlignment w:val="baseline"/>
        <w:rPr>
          <w:rFonts w:ascii="Times New Roman" w:eastAsia="Calibri" w:hAnsi="Times New Roman" w:cs="Times New Roman"/>
          <w:i/>
          <w:sz w:val="24"/>
          <w:szCs w:val="24"/>
        </w:rPr>
      </w:pPr>
    </w:p>
    <w:p w14:paraId="2A1B2CE8" w14:textId="77777777" w:rsidR="00332ED0" w:rsidRPr="00250C7F" w:rsidRDefault="00332ED0" w:rsidP="00332ED0">
      <w:pPr>
        <w:suppressAutoHyphens/>
        <w:autoSpaceDN w:val="0"/>
        <w:spacing w:after="0" w:line="276" w:lineRule="auto"/>
        <w:ind w:right="-2"/>
        <w:jc w:val="both"/>
        <w:textAlignment w:val="baseline"/>
        <w:rPr>
          <w:rFonts w:ascii="Times New Roman" w:eastAsia="Calibri" w:hAnsi="Times New Roman" w:cs="Times New Roman"/>
          <w:i/>
          <w:sz w:val="24"/>
          <w:szCs w:val="24"/>
        </w:rPr>
      </w:pPr>
    </w:p>
    <w:p w14:paraId="2169B870" w14:textId="550358EF" w:rsidR="008A5F65" w:rsidRPr="00250C7F" w:rsidRDefault="00743B23" w:rsidP="00A71721">
      <w:pPr>
        <w:pStyle w:val="Heading3"/>
        <w:spacing w:before="0" w:line="276" w:lineRule="auto"/>
        <w:ind w:right="-2"/>
        <w:jc w:val="both"/>
        <w:rPr>
          <w:rFonts w:ascii="Times New Roman" w:hAnsi="Times New Roman"/>
          <w:b/>
          <w:bCs/>
          <w:color w:val="auto"/>
        </w:rPr>
      </w:pPr>
      <w:bookmarkStart w:id="7" w:name="_Toc84584798"/>
      <w:r w:rsidRPr="00250C7F">
        <w:rPr>
          <w:rFonts w:ascii="Times New Roman" w:eastAsia="Calibri" w:hAnsi="Times New Roman" w:cs="Times New Roman"/>
          <w:b/>
          <w:bCs/>
          <w:iCs/>
          <w:color w:val="auto"/>
        </w:rPr>
        <w:t xml:space="preserve">3. </w:t>
      </w:r>
      <w:r w:rsidRPr="00250C7F">
        <w:rPr>
          <w:rFonts w:ascii="Times New Roman" w:hAnsi="Times New Roman"/>
          <w:b/>
          <w:bCs/>
          <w:color w:val="auto"/>
        </w:rPr>
        <w:t>Regimul juridic al străinilor. Refuzul acordării dreptului de ședere pe termen lung în România. Lipsa motivării actului administrativ.</w:t>
      </w:r>
      <w:bookmarkEnd w:id="7"/>
    </w:p>
    <w:p w14:paraId="7C77B16C" w14:textId="77777777" w:rsidR="00A9433C" w:rsidRPr="00250C7F" w:rsidRDefault="00A9433C" w:rsidP="00A71721">
      <w:pPr>
        <w:spacing w:after="0" w:line="240" w:lineRule="auto"/>
        <w:ind w:right="-2"/>
      </w:pPr>
    </w:p>
    <w:p w14:paraId="173FDBE6" w14:textId="77777777" w:rsidR="00743B23" w:rsidRPr="00250C7F" w:rsidRDefault="00743B23" w:rsidP="00A71721">
      <w:pPr>
        <w:spacing w:after="0" w:line="240" w:lineRule="auto"/>
        <w:ind w:right="-2"/>
        <w:jc w:val="right"/>
        <w:rPr>
          <w:rFonts w:ascii="Times New Roman" w:hAnsi="Times New Roman"/>
          <w:sz w:val="24"/>
          <w:szCs w:val="24"/>
        </w:rPr>
      </w:pPr>
      <w:r w:rsidRPr="00250C7F">
        <w:rPr>
          <w:rFonts w:ascii="Times New Roman" w:hAnsi="Times New Roman"/>
          <w:sz w:val="24"/>
          <w:szCs w:val="24"/>
        </w:rPr>
        <w:t xml:space="preserve">O.U.G. nr. 194/2002, art. 70 alin. (1), art. 71 alin. (1); </w:t>
      </w:r>
    </w:p>
    <w:p w14:paraId="07E3CE1D" w14:textId="77777777" w:rsidR="00743B23" w:rsidRPr="00250C7F" w:rsidRDefault="00743B23" w:rsidP="00A71721">
      <w:pPr>
        <w:spacing w:after="0" w:line="240" w:lineRule="auto"/>
        <w:ind w:right="-2"/>
        <w:jc w:val="right"/>
        <w:rPr>
          <w:rFonts w:ascii="Times New Roman" w:hAnsi="Times New Roman"/>
          <w:sz w:val="24"/>
          <w:szCs w:val="24"/>
        </w:rPr>
      </w:pPr>
      <w:r w:rsidRPr="00250C7F">
        <w:rPr>
          <w:rFonts w:ascii="Times New Roman" w:hAnsi="Times New Roman"/>
          <w:sz w:val="24"/>
          <w:szCs w:val="24"/>
        </w:rPr>
        <w:t>Directiva 2004/38/CE, art. 30 alin. (2)</w:t>
      </w:r>
    </w:p>
    <w:p w14:paraId="4966F3EB" w14:textId="77777777" w:rsidR="00743B23" w:rsidRPr="00250C7F" w:rsidRDefault="00743B23" w:rsidP="00A71721">
      <w:pPr>
        <w:spacing w:after="0" w:line="240" w:lineRule="auto"/>
        <w:ind w:right="-2"/>
        <w:jc w:val="right"/>
        <w:rPr>
          <w:rFonts w:ascii="Times New Roman" w:hAnsi="Times New Roman"/>
          <w:sz w:val="24"/>
          <w:szCs w:val="24"/>
        </w:rPr>
      </w:pPr>
      <w:r w:rsidRPr="00250C7F">
        <w:rPr>
          <w:rFonts w:ascii="Times New Roman" w:hAnsi="Times New Roman"/>
          <w:sz w:val="24"/>
          <w:szCs w:val="24"/>
        </w:rPr>
        <w:t>O.U.G. nr. 102/2005</w:t>
      </w:r>
    </w:p>
    <w:p w14:paraId="0DA85FDB" w14:textId="77777777" w:rsidR="00743B23" w:rsidRPr="00250C7F" w:rsidRDefault="00743B23" w:rsidP="00A71721">
      <w:pPr>
        <w:spacing w:after="0"/>
        <w:ind w:right="-2"/>
        <w:jc w:val="right"/>
        <w:rPr>
          <w:rFonts w:ascii="Times New Roman" w:hAnsi="Times New Roman"/>
          <w:b/>
          <w:bCs/>
          <w:sz w:val="24"/>
          <w:szCs w:val="24"/>
        </w:rPr>
      </w:pPr>
    </w:p>
    <w:p w14:paraId="0F72141A" w14:textId="77777777" w:rsidR="00743B23" w:rsidRPr="00250C7F" w:rsidRDefault="00743B23" w:rsidP="00A71721">
      <w:pPr>
        <w:spacing w:after="0" w:line="276" w:lineRule="auto"/>
        <w:ind w:right="-2" w:firstLine="720"/>
        <w:jc w:val="both"/>
        <w:rPr>
          <w:rFonts w:ascii="Times New Roman" w:hAnsi="Times New Roman"/>
          <w:i/>
          <w:iCs/>
          <w:sz w:val="24"/>
          <w:szCs w:val="24"/>
        </w:rPr>
      </w:pPr>
      <w:r w:rsidRPr="00250C7F">
        <w:rPr>
          <w:rFonts w:ascii="Times New Roman" w:hAnsi="Times New Roman"/>
          <w:i/>
          <w:iCs/>
          <w:sz w:val="24"/>
          <w:szCs w:val="24"/>
        </w:rPr>
        <w:t>Potrivit dispozițiilor art. 71 alin. (1) din O.U.G. nr. 194/2002, în forma în vigoare la data emiterii adresei contestate, dreptul de ședere pe termen lung se acordă străinilor prevăzuți la art. 70 alin. (1), dacă îndeplinesc cumulativ anumite condiții, printre care și aceea ca solicitantul să nu prezinte pericol pentru ordinea publică sau securitatea națională, condiție stipulată la alin. (1) lit. f) a art. 71. Dispozițiile art. 74 alin. (2) din același act normativ prevăd că refuzul acordării dreptului de ședere pe termen lung, precum și motivele care au stat la baza acestuia se comunică, în scris solicitantului.</w:t>
      </w:r>
    </w:p>
    <w:p w14:paraId="2679DE1F" w14:textId="77777777" w:rsidR="00743B23" w:rsidRPr="00250C7F" w:rsidRDefault="00743B23" w:rsidP="00A71721">
      <w:pPr>
        <w:spacing w:after="0" w:line="276" w:lineRule="auto"/>
        <w:ind w:right="-2" w:firstLine="720"/>
        <w:jc w:val="both"/>
        <w:rPr>
          <w:rFonts w:ascii="Times New Roman" w:hAnsi="Times New Roman"/>
          <w:i/>
          <w:iCs/>
          <w:sz w:val="24"/>
          <w:szCs w:val="24"/>
        </w:rPr>
      </w:pPr>
      <w:r w:rsidRPr="00250C7F">
        <w:rPr>
          <w:rFonts w:ascii="Times New Roman" w:hAnsi="Times New Roman"/>
          <w:i/>
          <w:iCs/>
          <w:sz w:val="24"/>
          <w:szCs w:val="24"/>
        </w:rPr>
        <w:t>Este necontestat că din modul de redactare a dispozițiilor art. 30 alin. (2) din Directiva 2004/38/CE, rezultă că autoritățile competente au posibilitatea de a indica doar generic motivele restrângerii libertății de circulație și ședere a cetățenilor Uniunii Europene, în situațiile în care prezentarea detaliată a acestor motive este contrară intereselor siguranței statului.</w:t>
      </w:r>
    </w:p>
    <w:p w14:paraId="0B76E928" w14:textId="046B2F11" w:rsidR="00743B23" w:rsidRPr="00250C7F" w:rsidRDefault="00743B23" w:rsidP="00A71721">
      <w:pPr>
        <w:spacing w:after="0" w:line="276" w:lineRule="auto"/>
        <w:ind w:right="-2" w:firstLine="720"/>
        <w:jc w:val="both"/>
        <w:rPr>
          <w:rFonts w:ascii="Times New Roman" w:hAnsi="Times New Roman"/>
          <w:i/>
          <w:iCs/>
          <w:sz w:val="24"/>
          <w:szCs w:val="24"/>
        </w:rPr>
      </w:pPr>
      <w:r w:rsidRPr="00250C7F">
        <w:rPr>
          <w:rFonts w:ascii="Times New Roman" w:hAnsi="Times New Roman"/>
          <w:i/>
          <w:iCs/>
          <w:sz w:val="24"/>
          <w:szCs w:val="24"/>
        </w:rPr>
        <w:t>Situația de excepție prevăzută de actul normativ european nu a fost reținută în cauză, Înalta Curte de Casație constatând că din cuprinsul adresei contestate lipsește complet prezentarea situației de fapt care să se încadreze în dispozițiile art. 71 alin. (1) lit. f) din O.U.G. nr. 194/2002, solicitantul fiind informat doar că prezintă pericol pentru ordinea publică sau securitatea națională. Or, simpla reproducere a conţinutului textului de lege nu asigură cerința motivării adresei de comunicare a refuzului de acordare a dreptului de ședere,  instanța - în lipsa indicării elementelor de fapt care au stat la baza acestui refuz – fiind împiedicată, să examineze circumstanțele car</w:t>
      </w:r>
      <w:r w:rsidR="00A9433C" w:rsidRPr="00250C7F">
        <w:rPr>
          <w:rFonts w:ascii="Times New Roman" w:hAnsi="Times New Roman"/>
          <w:i/>
          <w:iCs/>
          <w:sz w:val="24"/>
          <w:szCs w:val="24"/>
        </w:rPr>
        <w:t xml:space="preserve">e justifică măsura dispusă. </w:t>
      </w:r>
    </w:p>
    <w:p w14:paraId="1EF960AA" w14:textId="77777777" w:rsidR="00A9433C" w:rsidRPr="00250C7F" w:rsidRDefault="00A9433C" w:rsidP="00A71721">
      <w:pPr>
        <w:spacing w:after="0" w:line="276" w:lineRule="auto"/>
        <w:ind w:right="-2" w:firstLine="720"/>
        <w:jc w:val="both"/>
        <w:rPr>
          <w:rFonts w:ascii="Times New Roman" w:hAnsi="Times New Roman"/>
          <w:i/>
          <w:iCs/>
          <w:sz w:val="24"/>
          <w:szCs w:val="24"/>
        </w:rPr>
      </w:pPr>
    </w:p>
    <w:p w14:paraId="5817DC6C" w14:textId="61DB4DAB" w:rsidR="00743B23" w:rsidRPr="00250C7F" w:rsidRDefault="00743B23" w:rsidP="00A71721">
      <w:pPr>
        <w:ind w:right="-2"/>
        <w:rPr>
          <w:rFonts w:ascii="Times New Roman" w:hAnsi="Times New Roman"/>
          <w:sz w:val="24"/>
          <w:szCs w:val="24"/>
        </w:rPr>
      </w:pPr>
      <w:r w:rsidRPr="00250C7F">
        <w:rPr>
          <w:rFonts w:ascii="Times New Roman" w:hAnsi="Times New Roman" w:cs="Times New Roman"/>
          <w:sz w:val="24"/>
          <w:szCs w:val="24"/>
        </w:rPr>
        <w:t>I.C.C.J., Secţia de contencios administrativ şi fiscal</w:t>
      </w:r>
      <w:r w:rsidRPr="00250C7F">
        <w:rPr>
          <w:rFonts w:ascii="Times New Roman" w:eastAsia="Times New Roman" w:hAnsi="Times New Roman" w:cs="Times New Roman"/>
          <w:sz w:val="24"/>
          <w:szCs w:val="24"/>
        </w:rPr>
        <w:t xml:space="preserve">, decizia </w:t>
      </w:r>
      <w:r w:rsidRPr="00250C7F">
        <w:rPr>
          <w:rFonts w:ascii="Times New Roman" w:eastAsia="Calibri" w:hAnsi="Times New Roman" w:cs="Times New Roman"/>
          <w:sz w:val="24"/>
          <w:szCs w:val="24"/>
        </w:rPr>
        <w:t xml:space="preserve">nr. </w:t>
      </w:r>
      <w:r w:rsidRPr="00250C7F">
        <w:rPr>
          <w:rFonts w:ascii="Times New Roman" w:hAnsi="Times New Roman"/>
          <w:sz w:val="24"/>
          <w:szCs w:val="24"/>
        </w:rPr>
        <w:t>985 din 17 februarie 2021</w:t>
      </w:r>
    </w:p>
    <w:p w14:paraId="266FEF75" w14:textId="77777777" w:rsidR="00743B23" w:rsidRPr="00250C7F" w:rsidRDefault="00743B23" w:rsidP="00A71721">
      <w:pPr>
        <w:spacing w:after="0" w:line="276" w:lineRule="auto"/>
        <w:ind w:right="-2" w:firstLine="709"/>
        <w:rPr>
          <w:rFonts w:ascii="Times New Roman" w:hAnsi="Times New Roman"/>
          <w:b/>
          <w:iCs/>
          <w:sz w:val="24"/>
          <w:szCs w:val="24"/>
        </w:rPr>
      </w:pPr>
      <w:r w:rsidRPr="00250C7F">
        <w:rPr>
          <w:rFonts w:ascii="Times New Roman" w:hAnsi="Times New Roman"/>
          <w:b/>
          <w:iCs/>
          <w:sz w:val="24"/>
          <w:szCs w:val="24"/>
        </w:rPr>
        <w:t>I. Circumstanţele cauzei</w:t>
      </w:r>
    </w:p>
    <w:p w14:paraId="2F421546" w14:textId="77777777" w:rsidR="00743B23" w:rsidRPr="00250C7F" w:rsidRDefault="00743B23" w:rsidP="00A71721">
      <w:pPr>
        <w:spacing w:after="0" w:line="276" w:lineRule="auto"/>
        <w:ind w:right="-2" w:firstLine="709"/>
      </w:pPr>
      <w:r w:rsidRPr="00250C7F">
        <w:rPr>
          <w:rFonts w:ascii="Times New Roman" w:hAnsi="Times New Roman"/>
          <w:bCs/>
          <w:i/>
          <w:sz w:val="24"/>
          <w:szCs w:val="24"/>
        </w:rPr>
        <w:t>1. Obiectul cererii de chemare în judecată</w:t>
      </w:r>
    </w:p>
    <w:p w14:paraId="1536F9FF"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Prin acţiunea înregistrată pe rolul Curţii de Apel Bucureşti la data de 29.12.2017,  reclamantul A a solicitat în contradictoriu cu pârâtul Inspectoratul General pentru Imigrări, anularea adresei nr. 2951949/DM/S2/MC din 30.10.2017, emisă de pârât, prin care i s-a comunicat respingerea cererii de acordare a dreptului de şedere pe termen lung în România, depusă la Biroul pentru Imigrări al judeţului Dâmbovița.</w:t>
      </w:r>
    </w:p>
    <w:p w14:paraId="79215DC3" w14:textId="77777777" w:rsidR="00743B23" w:rsidRPr="00250C7F" w:rsidRDefault="00743B23" w:rsidP="00A71721">
      <w:pPr>
        <w:spacing w:after="0" w:line="276" w:lineRule="auto"/>
        <w:ind w:right="-2" w:firstLine="720"/>
        <w:jc w:val="both"/>
        <w:rPr>
          <w:rFonts w:ascii="Times New Roman" w:hAnsi="Times New Roman"/>
          <w:i/>
          <w:sz w:val="24"/>
          <w:szCs w:val="24"/>
        </w:rPr>
      </w:pPr>
      <w:r w:rsidRPr="00250C7F">
        <w:rPr>
          <w:rFonts w:ascii="Times New Roman" w:hAnsi="Times New Roman"/>
          <w:i/>
          <w:sz w:val="24"/>
          <w:szCs w:val="24"/>
        </w:rPr>
        <w:t>2. Hotărârea primei instanțe</w:t>
      </w:r>
    </w:p>
    <w:p w14:paraId="1016EF8A" w14:textId="56EC5C9D" w:rsidR="00743B23" w:rsidRPr="00250C7F" w:rsidRDefault="00743B23" w:rsidP="00A71721">
      <w:pPr>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Prin sentinţa civilă nr. 3904 din 03 octombrie 2018, Curtea de Apel Bucureşti - Secţia a VIII-a contencios administrativ şi fiscal a respins acţiunea formulată de reclamantul A în contradictoriu cu pârâtul Inspectoratul General pentru Imigrări, ca neîntemeiată.</w:t>
      </w:r>
    </w:p>
    <w:p w14:paraId="5AF0319C" w14:textId="77777777" w:rsidR="00743B23" w:rsidRPr="00250C7F" w:rsidRDefault="00743B23" w:rsidP="00A71721">
      <w:pPr>
        <w:spacing w:after="0" w:line="276" w:lineRule="auto"/>
        <w:ind w:right="-2" w:firstLine="709"/>
        <w:jc w:val="both"/>
        <w:rPr>
          <w:rFonts w:ascii="Times New Roman" w:hAnsi="Times New Roman"/>
          <w:bCs/>
          <w:i/>
          <w:sz w:val="24"/>
          <w:szCs w:val="24"/>
        </w:rPr>
      </w:pPr>
      <w:r w:rsidRPr="00250C7F">
        <w:rPr>
          <w:rFonts w:ascii="Times New Roman" w:hAnsi="Times New Roman"/>
          <w:bCs/>
          <w:i/>
          <w:sz w:val="24"/>
          <w:szCs w:val="24"/>
        </w:rPr>
        <w:lastRenderedPageBreak/>
        <w:t>3. Calea de atac exercitată în cauză</w:t>
      </w:r>
    </w:p>
    <w:p w14:paraId="4BAC1B84"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Împotriva sentinţei civile nr. 3904 din 03 octombrie 2018, pronunţată de Curtea de Apel Bucureşti - Secţia a VIII-a contencios administrativ şi fiscal, reclamantul A a declarat recurs, întemeiat pe dispozițiile art. 488 alin. (1) pct. 5, 6 şi 8 din Codul de procedură civilă, solicitând casarea hotărârii atacate şi, în rejudecarea cauzei, admiterea acţiunii, astfel cum a fost formulată.</w:t>
      </w:r>
    </w:p>
    <w:p w14:paraId="24A87BBC"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În motivarea cererii de recurs, în esenţă, recurentul-reclamat a susţinut că în decizia contestată nu se arată, în fapt, motivele pentru care prezintă pericol pentru ordinea publică sau securitatea naţională şi nu se detaliază acest pericol.</w:t>
      </w:r>
    </w:p>
    <w:p w14:paraId="6E9F9A89"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Astfel, instanţa trebuie să aibă un control efectiv asupra actelor care au stat la baza deciziei contestate, iar în cauză, în absenţa elementelor probatorii şi a unor documente concludente existente în dosarul administrativ, care să ateste îndeplinirea condiţiei prevăzute de art. 70 alin. (1) lit. f) din O.U.G. nr. 194/2002, decizia atacată contravine principiilor egalităţii în faţa legii şi egalităţii armelor, normelor procedurale şi dreptului persoanei la un proces echitabil.</w:t>
      </w:r>
      <w:r w:rsidRPr="00250C7F">
        <w:rPr>
          <w:rFonts w:ascii="Times New Roman" w:hAnsi="Times New Roman"/>
          <w:sz w:val="24"/>
          <w:szCs w:val="24"/>
        </w:rPr>
        <w:tab/>
      </w:r>
    </w:p>
    <w:p w14:paraId="7BF85F4B"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Recurentul-reclamant a mai învederat că nu este declarat indezirabil, în conformitate cu art. 85 din O.U.G. nr. 194/2002 şi nu prezintă pericol pentru securitatea naţională, aşa cum este definit acest pericol de prevederile O.U.G. 194/2002.</w:t>
      </w:r>
    </w:p>
    <w:p w14:paraId="026CC53F"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A precizat recurentul că necesitatea protejării securităţii naţionale şi a siguranţei publice trebuie analizată prin prisma dispoziţiilor art. 3 din Legea nr. 51/1991 privind securitatea naţională a României, iar din actele depuse în susţinerea adresei Serviciului Român de Informaţii, nu rezultă implicarea sa în pregătirea unor acte de terorism.</w:t>
      </w:r>
    </w:p>
    <w:p w14:paraId="21D7C540"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În legătură cu aspectul criticat, recurentul-reclamant a arătat că în jurisprudența Curții Europene a Drepturilor Omului s-a statuat în mod constant că nicio persoană care face obiectul unei măsuri bazate pe motive de siguranţă naţională nu trebuie lipsită de garanţii împotriva arbitrariului, ea trebuind să aibă posibilitatea de a cere controlul măsurii litigioase de către un organ independent şi imparțial, abilitat să analizeze toate chestiunile de fapt și de drept pertinente pentru a putea statua asupra legalităţii măsurii si a sancţiona un eventual abuz al autorităţii. În faţa acestui organ de control, persoana respectivă trebuie să beneficieze de o procedură contradictorie, pentru a-și putea prezenta punctul de vedere și a respinge argumentele autorităţilor.</w:t>
      </w:r>
    </w:p>
    <w:p w14:paraId="6DB6E70A"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Totodată, recurentul-reclamant a susţinut că nu pot fi acceptate motivări care nu sunt direct legate de caz sau care sunt legate de consideraţii de prevenție generală, potrivit dispozițiilor art. 16 alin. (1) şi art. 27 alin. (1) şi (2) din Directiva 2004/38, precizând că măsurile justificate prin motive de ordine publică sau de siguranţă publică nu pot fi luate decât dacă, după o apreciere de la caz la caz din partea autorităţilor naţionale competente, se dovedeşte că persoana în cauză are o conduită ce reprezintă o amenințare reală şi suficient de gravă pentru un interes fundamental al societăţii (hotărârile CJUE pronunțate în cauzele C-371/08, C-482/01 şi C-493/01).</w:t>
      </w:r>
    </w:p>
    <w:p w14:paraId="1CCA63B8"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Această evaluare implică o punere în balanță, pe de o parte, a amenințării pe care conduita persoanei în cauză o reprezintă pentru interesele fundamentale ale societăţii gazdă şi, pe de altă parte, a protecţiei drepturilor conferite cetăţenilor Uniunii Europene şi membrilor familiilor acestora de Directiva 2004/38 (hotărârile CJUE pronunţate în cauzele C-145/09, C-57/09, C-101/09, C-145/09, C-348/09).</w:t>
      </w:r>
    </w:p>
    <w:p w14:paraId="1B6051B4"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 xml:space="preserve">Recurentul-reclamant a învederat că, în speţă, probatoriul depus de pârât la dosar nu dovedeşte pericolul pentru ordinea publică, iar presupunerea instanţei de fond în sensul că ar realiza venituri substanţiale nedeclarate, nu este probată şi totodată, nu reprezintă o amenințare reală, prezentă şi suficient de gravă pentru un interes fundamental al societăţii. </w:t>
      </w:r>
    </w:p>
    <w:p w14:paraId="592B2148"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bCs/>
          <w:i/>
          <w:sz w:val="24"/>
          <w:szCs w:val="24"/>
        </w:rPr>
      </w:pPr>
      <w:r w:rsidRPr="00250C7F">
        <w:rPr>
          <w:rFonts w:ascii="Times New Roman" w:hAnsi="Times New Roman"/>
          <w:bCs/>
          <w:i/>
          <w:sz w:val="24"/>
          <w:szCs w:val="24"/>
        </w:rPr>
        <w:lastRenderedPageBreak/>
        <w:t>4. Apărările formulate în cauză</w:t>
      </w:r>
    </w:p>
    <w:p w14:paraId="66A8BE84" w14:textId="77777777" w:rsidR="00743B23" w:rsidRPr="00250C7F" w:rsidRDefault="00743B23" w:rsidP="00A71721">
      <w:pPr>
        <w:tabs>
          <w:tab w:val="left" w:pos="709"/>
          <w:tab w:val="left" w:pos="3780"/>
        </w:tabs>
        <w:spacing w:after="0" w:line="276" w:lineRule="auto"/>
        <w:ind w:right="-2" w:firstLine="709"/>
        <w:jc w:val="both"/>
      </w:pPr>
      <w:r w:rsidRPr="00250C7F">
        <w:rPr>
          <w:rFonts w:ascii="Times New Roman" w:hAnsi="Times New Roman"/>
          <w:bCs/>
          <w:sz w:val="24"/>
          <w:szCs w:val="24"/>
        </w:rPr>
        <w:t xml:space="preserve">Prin întâmpinarea depusă la dosar, </w:t>
      </w:r>
      <w:r w:rsidRPr="00250C7F">
        <w:rPr>
          <w:rFonts w:ascii="Times New Roman" w:hAnsi="Times New Roman"/>
          <w:sz w:val="24"/>
          <w:szCs w:val="24"/>
        </w:rPr>
        <w:t>intimatul-pârât Inspectoratul General pentru Imigrări a solicitat respingerea recursului ca nefondat, arătând, în esență, că în mod corect a fost respinsă cererea reclamantului, reţinându-se că nu sunt îndeplinite condiţiile prevăzute de art. 71 alin. (1) lit. f) din O.U.G. nr. 194/2002.</w:t>
      </w:r>
    </w:p>
    <w:p w14:paraId="72A1B55A" w14:textId="77777777" w:rsidR="00743B23" w:rsidRPr="00250C7F" w:rsidRDefault="00743B23" w:rsidP="00A71721">
      <w:pPr>
        <w:tabs>
          <w:tab w:val="left" w:pos="709"/>
          <w:tab w:val="left" w:pos="3780"/>
        </w:tabs>
        <w:spacing w:after="0" w:line="276" w:lineRule="auto"/>
        <w:ind w:right="-2" w:firstLine="709"/>
        <w:jc w:val="both"/>
        <w:rPr>
          <w:rFonts w:ascii="Times New Roman" w:hAnsi="Times New Roman"/>
          <w:sz w:val="24"/>
          <w:szCs w:val="24"/>
        </w:rPr>
      </w:pPr>
      <w:r w:rsidRPr="00250C7F">
        <w:rPr>
          <w:rFonts w:ascii="Times New Roman" w:hAnsi="Times New Roman"/>
          <w:sz w:val="24"/>
          <w:szCs w:val="24"/>
        </w:rPr>
        <w:t>Intimatul-pârât a susținut că sunt neîntemeiate apărările formulate de recurent în sensul că nu au fost arătate ori detaliate elementele care să evidenţieze pericolul la adresa ordinii publice, din moment ce prima instanţă în mod corect a apreciat şi reţinut că nu poate oferi mai multe precizări reclamantului, iar acestea nu au putut fi oferite nici în adresa contestată, întrucât aducerea lor la cunoştinţa reclamantului ar putea să zădărnicească eforturilor autorităţilor competente de a anihila anumite activităţi infracționale deosebit de periculoase şi de a trage la răspundere persoanele vinovate.</w:t>
      </w:r>
    </w:p>
    <w:p w14:paraId="40B73103"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În ceea ce privește motivarea refuzului de acordare a dreptului de şedere pe termen lung, această cerinţă a fost îndeplinită, prin indicarea temeiului de drept şi a situaţiei de fapt, în sensul că recurentul-reclamant prezintă pericol pentru ordinea publică sau securitatea naţională, expunerea în concret a împrejurărilor fiind contrară dispoziţiilor Legii nr. 182/2002.</w:t>
      </w:r>
    </w:p>
    <w:p w14:paraId="4EE0088B" w14:textId="77777777" w:rsidR="00743B23" w:rsidRPr="00250C7F" w:rsidRDefault="00743B23" w:rsidP="00A71721">
      <w:pPr>
        <w:spacing w:after="0" w:line="276" w:lineRule="auto"/>
        <w:ind w:right="-2" w:firstLine="720"/>
        <w:jc w:val="both"/>
      </w:pPr>
      <w:r w:rsidRPr="00250C7F">
        <w:rPr>
          <w:rFonts w:ascii="Times New Roman" w:hAnsi="Times New Roman"/>
          <w:b/>
          <w:sz w:val="24"/>
          <w:szCs w:val="24"/>
        </w:rPr>
        <w:t>II. Soluţia instanţei de recurs</w:t>
      </w:r>
    </w:p>
    <w:p w14:paraId="03B4AF24" w14:textId="77777777" w:rsidR="00743B23" w:rsidRPr="00250C7F" w:rsidRDefault="00743B23" w:rsidP="00A71721">
      <w:pPr>
        <w:spacing w:after="0" w:line="276" w:lineRule="auto"/>
        <w:ind w:right="-2" w:firstLine="720"/>
        <w:jc w:val="both"/>
        <w:rPr>
          <w:rFonts w:ascii="Times New Roman" w:hAnsi="Times New Roman"/>
          <w:i/>
          <w:sz w:val="24"/>
          <w:szCs w:val="24"/>
        </w:rPr>
      </w:pPr>
      <w:r w:rsidRPr="00250C7F">
        <w:rPr>
          <w:rFonts w:ascii="Times New Roman" w:hAnsi="Times New Roman"/>
          <w:i/>
          <w:sz w:val="24"/>
          <w:szCs w:val="24"/>
        </w:rPr>
        <w:t>Analizând actele şi lucrările dosarului, precum și sentinţa recurată, în raport de motivele de casare invocate, Înalta Curte constată că recursul declarat de reclamant este fondat.</w:t>
      </w:r>
    </w:p>
    <w:p w14:paraId="45AFA81B" w14:textId="77777777" w:rsidR="00743B23" w:rsidRPr="00250C7F" w:rsidRDefault="00743B23" w:rsidP="00A71721">
      <w:pPr>
        <w:numPr>
          <w:ilvl w:val="0"/>
          <w:numId w:val="38"/>
        </w:numPr>
        <w:autoSpaceDN w:val="0"/>
        <w:spacing w:after="0" w:line="276" w:lineRule="auto"/>
        <w:ind w:right="-2"/>
        <w:jc w:val="both"/>
        <w:rPr>
          <w:rFonts w:ascii="Times New Roman" w:hAnsi="Times New Roman"/>
          <w:bCs/>
          <w:i/>
          <w:sz w:val="24"/>
          <w:szCs w:val="24"/>
        </w:rPr>
      </w:pPr>
      <w:r w:rsidRPr="00250C7F">
        <w:rPr>
          <w:rFonts w:ascii="Times New Roman" w:hAnsi="Times New Roman"/>
          <w:bCs/>
          <w:i/>
          <w:sz w:val="24"/>
          <w:szCs w:val="24"/>
        </w:rPr>
        <w:t>Argumente de fapt şi de drept relevante</w:t>
      </w:r>
    </w:p>
    <w:p w14:paraId="7ED0FE34" w14:textId="77777777" w:rsidR="00743B23" w:rsidRPr="00250C7F" w:rsidRDefault="00743B23" w:rsidP="00A71721">
      <w:pPr>
        <w:spacing w:after="0" w:line="276" w:lineRule="auto"/>
        <w:ind w:right="-2" w:firstLine="720"/>
        <w:jc w:val="both"/>
        <w:rPr>
          <w:rFonts w:ascii="Times New Roman" w:hAnsi="Times New Roman"/>
          <w:bCs/>
          <w:sz w:val="24"/>
          <w:szCs w:val="24"/>
        </w:rPr>
      </w:pPr>
      <w:r w:rsidRPr="00250C7F">
        <w:rPr>
          <w:rFonts w:ascii="Times New Roman" w:hAnsi="Times New Roman"/>
          <w:bCs/>
          <w:sz w:val="24"/>
          <w:szCs w:val="24"/>
        </w:rPr>
        <w:t xml:space="preserve">Criticile recurentului-reclamant circumscrise motivului de casare prevăzut de art. 488 alin. (1) pct. 5 din Codul de procedură civilă, sunt neîntemeiate. </w:t>
      </w:r>
    </w:p>
    <w:p w14:paraId="32B50E66" w14:textId="77777777" w:rsidR="00743B23" w:rsidRPr="00250C7F" w:rsidRDefault="00743B23" w:rsidP="00A71721">
      <w:pPr>
        <w:spacing w:after="0" w:line="276" w:lineRule="auto"/>
        <w:ind w:right="-2" w:firstLine="720"/>
        <w:jc w:val="both"/>
        <w:rPr>
          <w:rFonts w:ascii="Times New Roman" w:hAnsi="Times New Roman"/>
          <w:bCs/>
          <w:sz w:val="24"/>
          <w:szCs w:val="24"/>
        </w:rPr>
      </w:pPr>
      <w:r w:rsidRPr="00250C7F">
        <w:rPr>
          <w:rFonts w:ascii="Times New Roman" w:hAnsi="Times New Roman"/>
          <w:bCs/>
          <w:sz w:val="24"/>
          <w:szCs w:val="24"/>
        </w:rPr>
        <w:t>Potrivit textului de lege mai sus enunţat, se poate solicita casarea unei  hotărâri atunci când prin hotărârea pronunţată, instanţa de judecată a încălcat regulile de procedură a căror nerespectare atrage sancţiunea  nulităţii.</w:t>
      </w:r>
    </w:p>
    <w:p w14:paraId="66F61C1F" w14:textId="77777777" w:rsidR="00743B23" w:rsidRPr="00250C7F" w:rsidRDefault="00743B23" w:rsidP="00A71721">
      <w:pPr>
        <w:spacing w:after="0" w:line="276" w:lineRule="auto"/>
        <w:ind w:right="-2" w:firstLine="720"/>
        <w:jc w:val="both"/>
        <w:rPr>
          <w:rFonts w:ascii="Times New Roman" w:hAnsi="Times New Roman"/>
          <w:bCs/>
          <w:sz w:val="24"/>
          <w:szCs w:val="24"/>
        </w:rPr>
      </w:pPr>
      <w:r w:rsidRPr="00250C7F">
        <w:rPr>
          <w:rFonts w:ascii="Times New Roman" w:hAnsi="Times New Roman"/>
          <w:bCs/>
          <w:sz w:val="24"/>
          <w:szCs w:val="24"/>
        </w:rPr>
        <w:t>În speţă, nu s-a dovedit încălcarea de către instanţa de fond a  dispoziţiilor legale care guvernează desfăşurarea procesului civil, respectiv, a celor referitoare la condiţiile stabilite şi impuse de lege cu privire la activitatea de judecată şi la raporturile dintre părţi şi instanţă, actele de procedură efectuate în cauză asigurând întreaga desfăşurare a procesului cu respectarea prevederilor art. 237 din Codul de procedură civilă.</w:t>
      </w:r>
    </w:p>
    <w:p w14:paraId="0AA1AC87" w14:textId="1DAD5132" w:rsidR="00743B23" w:rsidRPr="00250C7F" w:rsidRDefault="00743B23" w:rsidP="00A71721">
      <w:pPr>
        <w:spacing w:after="0" w:line="276" w:lineRule="auto"/>
        <w:ind w:right="-2" w:firstLine="720"/>
        <w:jc w:val="both"/>
      </w:pPr>
      <w:r w:rsidRPr="00250C7F">
        <w:rPr>
          <w:rFonts w:ascii="Times New Roman" w:hAnsi="Times New Roman"/>
          <w:bCs/>
          <w:sz w:val="24"/>
          <w:szCs w:val="24"/>
        </w:rPr>
        <w:t>Alături de aceste argumente, se reține că în contextul dispozițiilor Legii nr. 182/2002</w:t>
      </w:r>
      <w:r w:rsidRPr="00250C7F">
        <w:rPr>
          <w:rFonts w:ascii="Times New Roman" w:hAnsi="Times New Roman"/>
          <w:sz w:val="24"/>
          <w:szCs w:val="24"/>
        </w:rPr>
        <w:t xml:space="preserve"> privind protecţia informaţiilor clasificate, </w:t>
      </w:r>
      <w:r w:rsidRPr="00250C7F">
        <w:rPr>
          <w:rFonts w:ascii="Times New Roman" w:hAnsi="Times New Roman"/>
          <w:bCs/>
          <w:sz w:val="24"/>
          <w:szCs w:val="24"/>
        </w:rPr>
        <w:t>cauza a fost examinată de către judecătorul fondului cu consultarea nemijlocită a documentelor cu caracter clasificat, depuse de pârât la dosar.</w:t>
      </w:r>
    </w:p>
    <w:p w14:paraId="776473A8" w14:textId="77777777" w:rsidR="00743B23" w:rsidRPr="00250C7F" w:rsidRDefault="00743B23" w:rsidP="00A71721">
      <w:pPr>
        <w:spacing w:after="0" w:line="276" w:lineRule="auto"/>
        <w:ind w:right="-2" w:firstLine="720"/>
        <w:jc w:val="both"/>
      </w:pPr>
      <w:r w:rsidRPr="00250C7F">
        <w:rPr>
          <w:rFonts w:ascii="Times New Roman" w:hAnsi="Times New Roman"/>
          <w:bCs/>
          <w:sz w:val="24"/>
          <w:szCs w:val="24"/>
        </w:rPr>
        <w:t xml:space="preserve">În cursul judecării prezentei căi de atac, recurentul-reclamant a luat cunoștință despre conținutul înscrisurilor cu caracter clasificat existente la dosarul cauzei, prin intermediul avocatului său, </w:t>
      </w:r>
      <w:r w:rsidRPr="00250C7F">
        <w:rPr>
          <w:rFonts w:ascii="Times New Roman" w:hAnsi="Times New Roman"/>
          <w:sz w:val="24"/>
          <w:szCs w:val="24"/>
        </w:rPr>
        <w:t>care a prezentat autorizaţie de acces la informaţii clasificate, în conformitate cu prevederile Legii nr. 182/2002.</w:t>
      </w:r>
    </w:p>
    <w:p w14:paraId="63B5F235" w14:textId="77777777" w:rsidR="00743B23" w:rsidRPr="00250C7F" w:rsidRDefault="00743B23" w:rsidP="00A71721">
      <w:pPr>
        <w:spacing w:after="0" w:line="276" w:lineRule="auto"/>
        <w:ind w:right="-2" w:firstLine="720"/>
        <w:jc w:val="both"/>
        <w:rPr>
          <w:rFonts w:ascii="Times New Roman" w:hAnsi="Times New Roman"/>
          <w:bCs/>
          <w:sz w:val="24"/>
          <w:szCs w:val="24"/>
        </w:rPr>
      </w:pPr>
      <w:r w:rsidRPr="00250C7F">
        <w:rPr>
          <w:rFonts w:ascii="Times New Roman" w:hAnsi="Times New Roman"/>
          <w:bCs/>
          <w:sz w:val="24"/>
          <w:szCs w:val="24"/>
        </w:rPr>
        <w:t>Motivul de casare prevăzut de art. 488 alin. (1) pct. 6 din Codul de procedură civilă, este nefondat.</w:t>
      </w:r>
    </w:p>
    <w:p w14:paraId="5619D6F6" w14:textId="77777777" w:rsidR="00743B23" w:rsidRPr="00250C7F" w:rsidRDefault="00743B23" w:rsidP="00A71721">
      <w:pPr>
        <w:spacing w:after="0" w:line="276" w:lineRule="auto"/>
        <w:ind w:right="-2" w:firstLine="720"/>
        <w:jc w:val="both"/>
        <w:rPr>
          <w:rFonts w:ascii="Times New Roman" w:hAnsi="Times New Roman"/>
          <w:bCs/>
          <w:sz w:val="24"/>
          <w:szCs w:val="24"/>
        </w:rPr>
      </w:pPr>
      <w:r w:rsidRPr="00250C7F">
        <w:rPr>
          <w:rFonts w:ascii="Times New Roman" w:hAnsi="Times New Roman"/>
          <w:bCs/>
          <w:sz w:val="24"/>
          <w:szCs w:val="24"/>
        </w:rPr>
        <w:t>Sentința recurată satisface cerinţele instituite de art. 425 alin. (1) lit. b) din Codul de procedură civilă, în considerentele hotărârii regăsindu-se motivele de fapt şi de drept care au determinat formarea convingerii primei instanţe cu privire la soluţia pronunţată în cauză.</w:t>
      </w:r>
    </w:p>
    <w:p w14:paraId="385870F0" w14:textId="77777777" w:rsidR="00743B23" w:rsidRPr="00250C7F" w:rsidRDefault="00743B23" w:rsidP="00A71721">
      <w:pPr>
        <w:spacing w:after="0" w:line="276" w:lineRule="auto"/>
        <w:ind w:right="-2" w:firstLine="720"/>
        <w:jc w:val="both"/>
        <w:rPr>
          <w:rFonts w:ascii="Times New Roman" w:hAnsi="Times New Roman"/>
          <w:bCs/>
          <w:sz w:val="24"/>
          <w:szCs w:val="24"/>
        </w:rPr>
      </w:pPr>
      <w:r w:rsidRPr="00250C7F">
        <w:rPr>
          <w:rFonts w:ascii="Times New Roman" w:hAnsi="Times New Roman"/>
          <w:bCs/>
          <w:sz w:val="24"/>
          <w:szCs w:val="24"/>
        </w:rPr>
        <w:t xml:space="preserve">Instanţa de control judiciar nu poate reține criticile recurentului-reclamant în sensul că sentinţa atacată cuprinde motive contradictorii, aceste afirmaţii reflectând dezacordul recurentului </w:t>
      </w:r>
      <w:r w:rsidRPr="00250C7F">
        <w:rPr>
          <w:rFonts w:ascii="Times New Roman" w:hAnsi="Times New Roman"/>
          <w:bCs/>
          <w:sz w:val="24"/>
          <w:szCs w:val="24"/>
        </w:rPr>
        <w:lastRenderedPageBreak/>
        <w:t>în privinţa argumentelor avute în vedere de prima instanță  la adoptarea soluției de respingere a cererii de chemare în judecată, fără a susţine însă motivul de casare analizat, întrucât judecătorul fondului a arătat în mod explicit motivele care l-au determinat să mențină actul contestat.</w:t>
      </w:r>
    </w:p>
    <w:p w14:paraId="1184BB1F" w14:textId="77777777" w:rsidR="00CC1589" w:rsidRPr="00250C7F" w:rsidRDefault="00743B23" w:rsidP="00A71721">
      <w:pPr>
        <w:spacing w:after="0" w:line="276" w:lineRule="auto"/>
        <w:ind w:right="-2" w:firstLine="720"/>
        <w:jc w:val="both"/>
      </w:pPr>
      <w:r w:rsidRPr="00250C7F">
        <w:rPr>
          <w:rFonts w:ascii="Times New Roman" w:hAnsi="Times New Roman"/>
          <w:bCs/>
          <w:sz w:val="24"/>
          <w:szCs w:val="24"/>
        </w:rPr>
        <w:t>Înalta Curte reține că este incident cazul</w:t>
      </w:r>
      <w:r w:rsidRPr="00250C7F">
        <w:rPr>
          <w:rFonts w:ascii="Times New Roman" w:hAnsi="Times New Roman"/>
          <w:b/>
          <w:bCs/>
          <w:sz w:val="24"/>
          <w:szCs w:val="24"/>
        </w:rPr>
        <w:t xml:space="preserve"> </w:t>
      </w:r>
      <w:r w:rsidRPr="00250C7F">
        <w:rPr>
          <w:rFonts w:ascii="Times New Roman" w:hAnsi="Times New Roman"/>
          <w:bCs/>
          <w:sz w:val="24"/>
          <w:szCs w:val="24"/>
        </w:rPr>
        <w:t>de casare prevăzut de</w:t>
      </w:r>
      <w:r w:rsidRPr="00250C7F">
        <w:rPr>
          <w:rFonts w:ascii="Times New Roman" w:hAnsi="Times New Roman"/>
          <w:b/>
          <w:bCs/>
          <w:sz w:val="24"/>
          <w:szCs w:val="24"/>
        </w:rPr>
        <w:t xml:space="preserve"> </w:t>
      </w:r>
      <w:r w:rsidRPr="00250C7F">
        <w:rPr>
          <w:rFonts w:ascii="Times New Roman" w:hAnsi="Times New Roman"/>
          <w:bCs/>
          <w:sz w:val="24"/>
          <w:szCs w:val="24"/>
        </w:rPr>
        <w:t>art. 488 alin. (1) pct. 8 din Codul de procedură civilă, pentru considerentele expuse în continuare.</w:t>
      </w:r>
    </w:p>
    <w:p w14:paraId="4FAE20B8" w14:textId="1BD33AD5" w:rsidR="00743B23" w:rsidRPr="00250C7F" w:rsidRDefault="00743B23" w:rsidP="00A71721">
      <w:pPr>
        <w:spacing w:after="0" w:line="276" w:lineRule="auto"/>
        <w:ind w:right="-2" w:firstLine="720"/>
        <w:jc w:val="both"/>
      </w:pPr>
      <w:r w:rsidRPr="00250C7F">
        <w:rPr>
          <w:rFonts w:ascii="Times New Roman" w:hAnsi="Times New Roman" w:cs="Times New Roman"/>
          <w:sz w:val="24"/>
          <w:szCs w:val="24"/>
        </w:rPr>
        <w:t>Recurentul-reclamant</w:t>
      </w:r>
      <w:r w:rsidR="00397D09" w:rsidRPr="00250C7F">
        <w:rPr>
          <w:rFonts w:ascii="Times New Roman" w:hAnsi="Times New Roman" w:cs="Times New Roman"/>
          <w:sz w:val="24"/>
          <w:szCs w:val="24"/>
        </w:rPr>
        <w:t xml:space="preserve"> </w:t>
      </w:r>
      <w:r w:rsidRPr="00250C7F">
        <w:rPr>
          <w:rFonts w:ascii="Times New Roman" w:hAnsi="Times New Roman" w:cs="Times New Roman"/>
          <w:sz w:val="24"/>
          <w:szCs w:val="24"/>
        </w:rPr>
        <w:t>a supus controlului de legalitate adresa nr.2951949/DM/S2/MC/30.10.2017, emisă de intimatul-pârât Inspectoratul General pentru Imigrări, prin care solicitantului i s-a comunicat respingerea cererii de acordare a dreptului de şedere pe termen lung în România, în temeiul art. 71 alin. (1) lit. f) din O.U.G. nr. 194/2002, republicată, cu modificările şi completările ulterioare, arătându-se că prezintă pericol pentru ordinea publică sau securitatea națională.</w:t>
      </w:r>
    </w:p>
    <w:p w14:paraId="662A1213" w14:textId="77777777" w:rsidR="00743B23" w:rsidRPr="00250C7F" w:rsidRDefault="00743B23" w:rsidP="00A71721">
      <w:pPr>
        <w:spacing w:after="0" w:line="276" w:lineRule="auto"/>
        <w:ind w:right="-2" w:firstLine="720"/>
        <w:jc w:val="both"/>
      </w:pPr>
      <w:r w:rsidRPr="00250C7F">
        <w:rPr>
          <w:rFonts w:ascii="Times New Roman" w:hAnsi="Times New Roman"/>
          <w:sz w:val="24"/>
          <w:szCs w:val="24"/>
        </w:rPr>
        <w:t>Potrivit dispozițiilor art. 71 alin. (1)</w:t>
      </w:r>
      <w:r w:rsidRPr="00250C7F">
        <w:rPr>
          <w:rFonts w:ascii="Times New Roman" w:hAnsi="Times New Roman"/>
          <w:b/>
          <w:sz w:val="24"/>
          <w:szCs w:val="24"/>
        </w:rPr>
        <w:t xml:space="preserve"> </w:t>
      </w:r>
      <w:r w:rsidRPr="00250C7F">
        <w:rPr>
          <w:rFonts w:ascii="Times New Roman" w:hAnsi="Times New Roman"/>
          <w:sz w:val="24"/>
          <w:szCs w:val="24"/>
        </w:rPr>
        <w:t>din O.U.G. nr. 194/2002, în forma în vigoare la data emiterii adresei contestate, dreptul de ședere pe termen lung se acordă străinilor prevăzuți la art. 70 alin.</w:t>
      </w:r>
      <w:r w:rsidRPr="00250C7F">
        <w:rPr>
          <w:rFonts w:ascii="Times New Roman" w:hAnsi="Times New Roman"/>
          <w:b/>
          <w:sz w:val="24"/>
          <w:szCs w:val="24"/>
        </w:rPr>
        <w:t xml:space="preserve"> </w:t>
      </w:r>
      <w:r w:rsidRPr="00250C7F">
        <w:rPr>
          <w:rFonts w:ascii="Times New Roman" w:hAnsi="Times New Roman"/>
          <w:sz w:val="24"/>
          <w:szCs w:val="24"/>
        </w:rPr>
        <w:t>(1), dacă îndeplinesc cumulativ anumite condiții, printre care și aceea ca solicitantul să nu prezinte pericol pentru ordinea publică sau securitatea națională, condiție stipulată la alin. (1) lit. f) a art. 71.</w:t>
      </w:r>
    </w:p>
    <w:p w14:paraId="77045DEE"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Dispozițiile art. 74 alin. (2) din același act normativ prevăd că refuzul acordării dreptului de ședere pe termen lung, precum și motivele care au stat la baza acestuia se comunică, în scris solicitantului.</w:t>
      </w:r>
    </w:p>
    <w:p w14:paraId="7D947D67" w14:textId="77777777" w:rsidR="00743B23" w:rsidRPr="00250C7F" w:rsidRDefault="00743B23" w:rsidP="00A71721">
      <w:pPr>
        <w:spacing w:after="0" w:line="276" w:lineRule="auto"/>
        <w:ind w:right="-2" w:firstLine="720"/>
        <w:jc w:val="both"/>
      </w:pPr>
      <w:r w:rsidRPr="00250C7F">
        <w:rPr>
          <w:rFonts w:ascii="Times New Roman" w:hAnsi="Times New Roman"/>
          <w:bCs/>
          <w:sz w:val="24"/>
          <w:szCs w:val="24"/>
        </w:rPr>
        <w:t xml:space="preserve">Prevederile comunitare cu incidenţă în cauză sunt cuprinse în </w:t>
      </w:r>
      <w:r w:rsidRPr="00250C7F">
        <w:rPr>
          <w:rFonts w:ascii="Times New Roman" w:hAnsi="Times New Roman"/>
          <w:i/>
          <w:iCs/>
          <w:sz w:val="24"/>
          <w:szCs w:val="24"/>
        </w:rPr>
        <w:t>Directiva 2004/38/CE a Parlamentului European și a Consiliului din 29 aprilie 2004 privind dreptul la liberă circulaţie și ședere pe teritoriul statelor membre pentru cetăţenii Uniunii și membrii familiilor acestora</w:t>
      </w:r>
      <w:r w:rsidRPr="00250C7F">
        <w:rPr>
          <w:rFonts w:ascii="Times New Roman" w:hAnsi="Times New Roman"/>
          <w:sz w:val="24"/>
          <w:szCs w:val="24"/>
        </w:rPr>
        <w:t>, de modificare a Regulamentului (CEE) nr. 1612/68 și de abrogare a Directivelor 64/221/CEE, 68/360/CEE, 72/194/CEE, 73/148/CEE, 75/34/CEE, 75/35/CEE, 90/364/CEE, 90/365/CEE și 93/96/CEE, transpusă în legislaţia naţională prin O.U.G. nr. 102/2005.</w:t>
      </w:r>
    </w:p>
    <w:p w14:paraId="449BC1B1" w14:textId="77777777" w:rsidR="00743B23" w:rsidRPr="00250C7F" w:rsidRDefault="00743B23" w:rsidP="00A71721">
      <w:pPr>
        <w:spacing w:after="0" w:line="276" w:lineRule="auto"/>
        <w:ind w:right="-2" w:firstLine="720"/>
        <w:jc w:val="both"/>
      </w:pPr>
      <w:r w:rsidRPr="00250C7F">
        <w:rPr>
          <w:rFonts w:ascii="Times New Roman" w:hAnsi="Times New Roman"/>
          <w:bCs/>
          <w:sz w:val="24"/>
          <w:szCs w:val="24"/>
        </w:rPr>
        <w:t xml:space="preserve">Directiva menționată, în </w:t>
      </w:r>
      <w:r w:rsidRPr="00250C7F">
        <w:rPr>
          <w:rFonts w:ascii="Times New Roman" w:hAnsi="Times New Roman"/>
          <w:bCs/>
          <w:i/>
          <w:iCs/>
          <w:sz w:val="24"/>
          <w:szCs w:val="24"/>
        </w:rPr>
        <w:t xml:space="preserve">Capitolul VI - </w:t>
      </w:r>
      <w:r w:rsidRPr="00250C7F">
        <w:rPr>
          <w:rFonts w:ascii="Times New Roman" w:hAnsi="Times New Roman"/>
          <w:i/>
          <w:iCs/>
          <w:sz w:val="24"/>
          <w:szCs w:val="24"/>
        </w:rPr>
        <w:t xml:space="preserve">Restrângerea dreptului de intrare și dreptului de ședere pentru motive de ordine publică, siguranţă publică sau sănătate publică, </w:t>
      </w:r>
      <w:r w:rsidRPr="00250C7F">
        <w:rPr>
          <w:rFonts w:ascii="Times New Roman" w:hAnsi="Times New Roman"/>
          <w:sz w:val="24"/>
          <w:szCs w:val="24"/>
        </w:rPr>
        <w:t xml:space="preserve">prevede </w:t>
      </w:r>
      <w:r w:rsidRPr="00250C7F">
        <w:rPr>
          <w:rFonts w:ascii="Times New Roman" w:hAnsi="Times New Roman"/>
          <w:i/>
          <w:sz w:val="24"/>
          <w:szCs w:val="24"/>
        </w:rPr>
        <w:t>la art. 27,</w:t>
      </w:r>
      <w:r w:rsidRPr="00250C7F">
        <w:rPr>
          <w:rFonts w:ascii="Times New Roman" w:hAnsi="Times New Roman"/>
          <w:sz w:val="24"/>
          <w:szCs w:val="24"/>
        </w:rPr>
        <w:t xml:space="preserve"> următoarele </w:t>
      </w:r>
      <w:r w:rsidRPr="00250C7F">
        <w:rPr>
          <w:rFonts w:ascii="Times New Roman" w:hAnsi="Times New Roman"/>
          <w:i/>
          <w:sz w:val="24"/>
          <w:szCs w:val="24"/>
        </w:rPr>
        <w:t>Principii generale</w:t>
      </w:r>
      <w:r w:rsidRPr="00250C7F">
        <w:rPr>
          <w:rFonts w:ascii="Times New Roman" w:hAnsi="Times New Roman"/>
          <w:sz w:val="24"/>
          <w:szCs w:val="24"/>
        </w:rPr>
        <w:t xml:space="preserve"> :</w:t>
      </w:r>
    </w:p>
    <w:p w14:paraId="26628516"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 xml:space="preserve">„(1) Sub rezerva dispoziţiilor prezentului capitol, statele membre pot restrânge libertatea de circulaţie și de ședere a cetăţenilor Uniunii și a membrilor lor de familie, indiferent de cetăţenie, pentru motive de ordine publică, siguranţă publică sau sănătate publică. Aceste motive nu pot fi invocate în scopuri economice. </w:t>
      </w:r>
    </w:p>
    <w:p w14:paraId="2C98520B"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 xml:space="preserve">(2) Măsurile luate din motive de ordine publică sau siguranţă publică respectă principiul proporţionalităţii și se întemeiază exclusiv pe conduita persoanei în cauză. Condamnările penale anterioare nu pot justifica în sine luarea unor asemenea măsuri. Conduita persoanei în cauză trebuie să constituie o ameninţare reală, prezentă și suficient de gravă la adresa unui interes fundamental al societăţii. Nu pot fi acceptate motivări care nu sunt direct legate de caz sau care sunt legate de consideraţii de prevenţie generală. </w:t>
      </w:r>
    </w:p>
    <w:p w14:paraId="6A903A8C"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 xml:space="preserve">(3) Pentru a stabili dacă persoana respectivă reprezintă un pericol pentru ordinea publică sau siguranţa publică, la eliberarea certificatului de înregistrare sau, în absenţa unui sistem de înregistrare, în termen de cel mult trei luni de la intrarea persoanei respective pe teritoriul său sau de la data la care persoana și-a semnalat prezenţa pe teritoriul său în conformitate cu articolul 5 alineatul (5) ori la eliberarea permisului de ședere, statul membru gazdă poate, în cazul în care consideră indispensabil, să ceară statului membru de origine sau, dacă este necesar, altor state </w:t>
      </w:r>
      <w:r w:rsidRPr="00250C7F">
        <w:rPr>
          <w:rFonts w:ascii="Times New Roman" w:hAnsi="Times New Roman"/>
          <w:sz w:val="24"/>
          <w:szCs w:val="24"/>
        </w:rPr>
        <w:lastRenderedPageBreak/>
        <w:t xml:space="preserve">membre să îi furnizeze informaţii privind antecedentele persoanei respective. Această consultare nu poate avea un caracter sistematic. Statul membru consultat răspunde în termen de două luni. </w:t>
      </w:r>
    </w:p>
    <w:p w14:paraId="3A2302CC" w14:textId="77777777" w:rsidR="00743B23" w:rsidRPr="00250C7F" w:rsidRDefault="00743B23" w:rsidP="00A71721">
      <w:pPr>
        <w:spacing w:after="0" w:line="276" w:lineRule="auto"/>
        <w:ind w:right="-2" w:firstLine="720"/>
        <w:jc w:val="both"/>
      </w:pPr>
      <w:r w:rsidRPr="00250C7F">
        <w:rPr>
          <w:rFonts w:ascii="Times New Roman" w:hAnsi="Times New Roman"/>
          <w:sz w:val="24"/>
          <w:szCs w:val="24"/>
        </w:rPr>
        <w:t>(4) Statul membru care a eliberat pașaportul sau cartea de identitate permite titularului documentului care a fost expulzat din motive de ordine publică, siguranţă publică sau sănătate publică de pe teritoriul altui stat membru să reintre pe teritoriul său fără nici o formalitate, chiar dacă documentul nu mai este valabil sau dacă cetăţenia titularului este contestată.”</w:t>
      </w:r>
    </w:p>
    <w:p w14:paraId="6C2F2233" w14:textId="77777777" w:rsidR="00743B23" w:rsidRPr="00250C7F" w:rsidRDefault="00743B23" w:rsidP="00A71721">
      <w:pPr>
        <w:spacing w:after="0" w:line="276" w:lineRule="auto"/>
        <w:ind w:right="-2" w:firstLine="720"/>
        <w:jc w:val="both"/>
      </w:pPr>
      <w:r w:rsidRPr="00250C7F">
        <w:rPr>
          <w:rFonts w:ascii="Times New Roman" w:hAnsi="Times New Roman"/>
          <w:bCs/>
          <w:iCs/>
          <w:sz w:val="24"/>
          <w:szCs w:val="24"/>
        </w:rPr>
        <w:t xml:space="preserve">Totodată, </w:t>
      </w:r>
      <w:r w:rsidRPr="00250C7F">
        <w:rPr>
          <w:rFonts w:ascii="Times New Roman" w:hAnsi="Times New Roman"/>
          <w:bCs/>
          <w:i/>
          <w:sz w:val="24"/>
          <w:szCs w:val="24"/>
        </w:rPr>
        <w:t xml:space="preserve">art. 30 - </w:t>
      </w:r>
      <w:r w:rsidRPr="00250C7F">
        <w:rPr>
          <w:rFonts w:ascii="Times New Roman" w:hAnsi="Times New Roman"/>
          <w:i/>
          <w:sz w:val="24"/>
          <w:szCs w:val="24"/>
        </w:rPr>
        <w:t xml:space="preserve">Notificarea deciziilor </w:t>
      </w:r>
      <w:r w:rsidRPr="00250C7F">
        <w:rPr>
          <w:rFonts w:ascii="Times New Roman" w:hAnsi="Times New Roman"/>
          <w:sz w:val="24"/>
          <w:szCs w:val="24"/>
        </w:rPr>
        <w:t>prevede</w:t>
      </w:r>
      <w:r w:rsidRPr="00250C7F">
        <w:rPr>
          <w:rFonts w:ascii="Times New Roman" w:hAnsi="Times New Roman"/>
          <w:i/>
          <w:sz w:val="24"/>
          <w:szCs w:val="24"/>
        </w:rPr>
        <w:t xml:space="preserve">: </w:t>
      </w:r>
      <w:r w:rsidRPr="00250C7F">
        <w:rPr>
          <w:rFonts w:ascii="Times New Roman" w:hAnsi="Times New Roman"/>
          <w:sz w:val="24"/>
          <w:szCs w:val="24"/>
        </w:rPr>
        <w:t>„(1) Persoanele interesate sunt notificate în scris cu privire la orice decizie adoptată în temeiul articolului 27 alineatul (1), astfel încât să poată înţelege conţinutul notificării și implicaţiile acesteia. (2) Persoanele interesate sunt informate în mod precis și complet cu privire la motivele de ordine publică, siguranţă publică sau sănătate publică pe care se bazează decizia luată în cazul lor, cu excepţia situaţiilor în care acest lucru este contrar intereselor siguranţei statului. (3) Notificarea precizează instanţa judecătorească sau autoritatea administrativă la care persoana interesată poate contesta decizia, termenul pentru contestare și, dacă este cazul, termenul acordat persoanei respective pentru a părăsi teritoriul statului membru. Cu excepţia unor cazuri de urgenţă, motivate corespunzător, termenul acordat pentru părăsirea teritoriului nu poate fi mai mic de o lună de la data notificării.”</w:t>
      </w:r>
    </w:p>
    <w:p w14:paraId="673FF36A"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De altfel, Curtea de Justiție a Uniunii Europene s-a pronunţat în Cauza 36/75 (Roland Rutili împotriva Ministre de l'intérieur - cerere formulată de Tribunal administratif din Paris pentru pronunţarea unei hotărâri preliminare privind interpretarea articolului 48 din Tratatul CEE ) şi a statuat  următoarele:</w:t>
      </w:r>
    </w:p>
    <w:p w14:paraId="1B6A1123"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 xml:space="preserve"> „1) Expresia „sub rezerva limitelor justificate de motive de ordine publică” de la articolul 48 nu se referă doar la actele cu putere de lege şi normele administrative pe care fiecare stat membru le-a adoptat pentru a limita, pe teritoriul său, libera circulaţie şi şederea resortisanţilor altor state membre, ci şi la deciziile individuale luate în aplicarea unor astfel de acte putere de lege şi norme administrative. </w:t>
      </w:r>
    </w:p>
    <w:p w14:paraId="4F202735"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2) Justificarea măsurilor destinate asigurării ordinii publice este apreciată în funcţie de toate normele de drept comunitar care au ca obiect, pe de o parte, limitarea aprecierii discreţionare a statelor membre în domeniu şi, pe de altă parte, garantarea apărării drepturilor persoanelor cărora li se aplică măsurile restrictive.</w:t>
      </w:r>
    </w:p>
    <w:p w14:paraId="1F8CFEA3"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 xml:space="preserve">Asemenea limite şi garanţii rezultă în special din obligaţia, impusă statelor membre, de a-şi întemeia măsurile adoptate exclusiv pe comportamentul individual al persoanelor care fac obiectul acestora, de a nu adopta măsuri în această privinţă care pot fi utilizate în scopuri diferite de cerinţele de ordine publică sau care aduc atingere exercitării drepturilor sindicale, de a comunica fără întârziere oricărei persoane căreia i se aplică măsurile restrictive, cu excepţia cazului în care respectivele măsuri sunt contrare siguranţei statului, motivele care stau la baza deciziei adoptate şi, în cele din urmă, de a asigura exercitarea efectivă a căilor de atac. </w:t>
      </w:r>
    </w:p>
    <w:p w14:paraId="7F1179A5"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În special, în ceea ce priveşte resortisanţii unor state membre cărora li se aplică dispoziţiile tratatului, pot fi impuse, de către un alt stat membru, măsuri restrictive privind dreptul de şedere limitate la o parte a teritoriului naţional doar în cazul şi în condiţiile în care asemenea măsuri se pot aplica resortisanţilor statului în cauză.”</w:t>
      </w:r>
    </w:p>
    <w:p w14:paraId="5C74A540"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În speță, în acord cu susținerile recurentului-reclamant, se constată că adresa nr. 2951949/DM/S2/MC/30.10.2017, prin care acestuia i s-a comunicat refuzul acordării dreptului de ședere pe termen lung în România, nu este motivată în fapt, în raport de elementele prevăzute de dispoziţiile art. 71 alin. (1) lit. f) din O.U.G. nr. 194/2002.</w:t>
      </w:r>
    </w:p>
    <w:p w14:paraId="01F48143"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lastRenderedPageBreak/>
        <w:t>În concret, prin adresa menționată i se aduce la cunoștință reclamantului că în urma analizării actelor depuse la dosarul administrativ la data de 05.05.2017, cererea sa a fost respinsă în temeiul art. 71 alin. (1) lit. f) din O.U.G. nr. 194/2002, republicată, cu modificările şi completările ulterioare, arătându-se că prezintă pericol pentru ordinea publică sau securitatea națională.</w:t>
      </w:r>
    </w:p>
    <w:p w14:paraId="1C0FA83B"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 xml:space="preserve">Rezultă astfel că în cuprinsul adresei contestate este redată, practic, condiția prevăzută la alin. (1) lit. f) a art. 71 din O.U.G. nr. 194/2002, ce constituie temeiul de drept reținut de pârât pentru refuzul acordării dreptului de ședere pe termen lung, fără a fi prezentate motivele de fapt care au stat la baza dispunerii acestei măsuri, respectiv împrejurările care evidenţiază că reclamantul prezintă pericol pentru ordinea publică sau securitatea națională. </w:t>
      </w:r>
    </w:p>
    <w:p w14:paraId="1FB59E74" w14:textId="77777777" w:rsidR="00743B23" w:rsidRPr="00250C7F" w:rsidRDefault="00743B23" w:rsidP="00A7172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În raport de conținutul concret al adresei atacate, instanța de control judiciar nu achiesează la opinia exprimată de judecătorul fondului, potrivit căreia în adresa respectivă nu au fost arătate elementele care să evidențieze pericolul la adresa ordinii publice, întrucât aducerea lor la cunoștința reclamantului ar putea să zădărnicească eforturile autorităților competente, de a anihila anumite activități infracționale deosebit de periculoase și de a trage la răspundere persoanele vinovate.</w:t>
      </w:r>
    </w:p>
    <w:p w14:paraId="158C8968" w14:textId="77777777" w:rsidR="00743B23" w:rsidRPr="00250C7F" w:rsidRDefault="00743B23" w:rsidP="00A71721">
      <w:pPr>
        <w:spacing w:after="0" w:line="276" w:lineRule="auto"/>
        <w:ind w:right="-2" w:firstLine="720"/>
        <w:jc w:val="both"/>
      </w:pPr>
      <w:r w:rsidRPr="00250C7F">
        <w:rPr>
          <w:rFonts w:ascii="Times New Roman" w:hAnsi="Times New Roman"/>
          <w:sz w:val="24"/>
          <w:szCs w:val="24"/>
        </w:rPr>
        <w:t xml:space="preserve">Așa cum s-a reţinut anterior, dispozițiile art. 27 alin. (2) din </w:t>
      </w:r>
      <w:r w:rsidRPr="00250C7F">
        <w:rPr>
          <w:rFonts w:ascii="Times New Roman" w:hAnsi="Times New Roman"/>
          <w:iCs/>
          <w:sz w:val="24"/>
          <w:szCs w:val="24"/>
        </w:rPr>
        <w:t>Directiva 2004/38/CE stipulează că</w:t>
      </w:r>
      <w:r w:rsidRPr="00250C7F">
        <w:rPr>
          <w:rFonts w:ascii="Times New Roman" w:hAnsi="Times New Roman"/>
          <w:b/>
          <w:sz w:val="24"/>
          <w:szCs w:val="24"/>
        </w:rPr>
        <w:t xml:space="preserve"> </w:t>
      </w:r>
      <w:r w:rsidRPr="00250C7F">
        <w:rPr>
          <w:rFonts w:ascii="Times New Roman" w:hAnsi="Times New Roman"/>
          <w:sz w:val="24"/>
          <w:szCs w:val="24"/>
        </w:rPr>
        <w:t>măsurile luate din motive de ordine publică sau siguranţă publică se întemeiază exclusiv pe conduita persoanei în cauză, această conduită trebuind să constituie o ameninţare reală, prezentă și suficient de gravă la adresa unui interes fundamental al societăţii. Totodată, nu pot fi acceptate motivări care nu sunt direct legate de caz sau care sunt legate de consideraţii de prevenţie generală</w:t>
      </w:r>
    </w:p>
    <w:p w14:paraId="4B801646" w14:textId="77777777" w:rsidR="00743B23" w:rsidRPr="00250C7F" w:rsidRDefault="00743B23" w:rsidP="00A71721">
      <w:pPr>
        <w:spacing w:after="0" w:line="276" w:lineRule="auto"/>
        <w:ind w:right="-2" w:firstLine="720"/>
        <w:jc w:val="both"/>
      </w:pPr>
      <w:r w:rsidRPr="00250C7F">
        <w:rPr>
          <w:rFonts w:ascii="Times New Roman" w:hAnsi="Times New Roman"/>
          <w:bCs/>
          <w:sz w:val="24"/>
          <w:szCs w:val="24"/>
        </w:rPr>
        <w:t xml:space="preserve">Or, </w:t>
      </w:r>
      <w:r w:rsidRPr="00250C7F">
        <w:rPr>
          <w:rFonts w:ascii="Times New Roman" w:hAnsi="Times New Roman"/>
          <w:sz w:val="24"/>
          <w:szCs w:val="24"/>
        </w:rPr>
        <w:t>în cauză, adresa contestată nu menționează în cuprinsul ei situația de fapt ce a fost avută în vedere de autoritatea publică pârâtă la refuzul acordării dreptului de ședere pe termen lung, ceea ce împiedică exercitarea controlului de legalitate a actului atacat, întrucât are loc o examinare formală în privința măsurii în litigiu, fără a se verifica dacă solicitantul prezintă, într-adevăr, pericol pentru ordinea publică sau securitatea națională.</w:t>
      </w:r>
    </w:p>
    <w:p w14:paraId="0BE35DD0" w14:textId="77777777" w:rsidR="00743B23" w:rsidRPr="00250C7F" w:rsidRDefault="00743B23" w:rsidP="00A71721">
      <w:pPr>
        <w:spacing w:after="0" w:line="276" w:lineRule="auto"/>
        <w:ind w:right="-2" w:firstLine="720"/>
        <w:jc w:val="both"/>
      </w:pPr>
      <w:r w:rsidRPr="00250C7F">
        <w:rPr>
          <w:rFonts w:ascii="Times New Roman" w:hAnsi="Times New Roman"/>
          <w:sz w:val="24"/>
          <w:szCs w:val="24"/>
        </w:rPr>
        <w:t xml:space="preserve">Este necontestat că din modul de redactare a dispozițiilor art. 30 alin. (2) din </w:t>
      </w:r>
      <w:r w:rsidRPr="00250C7F">
        <w:rPr>
          <w:rFonts w:ascii="Times New Roman" w:hAnsi="Times New Roman"/>
          <w:iCs/>
          <w:sz w:val="24"/>
          <w:szCs w:val="24"/>
        </w:rPr>
        <w:t>Directiva 2004/38/CE, rezultă că autoritățile competente au posibilitatea de a indica doar generic motivele restrângerii libertății de circulație și ședere a cetățenilor Uniunii Europene, în situațiile în care prezentarea detaliată a acestor motive este contrară intereselor siguranței statului.</w:t>
      </w:r>
    </w:p>
    <w:p w14:paraId="2C92BAFF" w14:textId="77777777" w:rsidR="00743B23" w:rsidRPr="00250C7F" w:rsidRDefault="00743B23" w:rsidP="00A71721">
      <w:pPr>
        <w:spacing w:after="0" w:line="276" w:lineRule="auto"/>
        <w:ind w:right="-2" w:firstLine="720"/>
        <w:jc w:val="both"/>
      </w:pPr>
      <w:r w:rsidRPr="00250C7F">
        <w:rPr>
          <w:rFonts w:ascii="Times New Roman" w:hAnsi="Times New Roman"/>
          <w:iCs/>
          <w:sz w:val="24"/>
          <w:szCs w:val="24"/>
        </w:rPr>
        <w:t>Înalta Curte apreciază că, în speță, nu poate fi reținută situația de excepție mai sus menționată, având în vedere că din cuprinsul adresei</w:t>
      </w:r>
      <w:r w:rsidRPr="00250C7F">
        <w:rPr>
          <w:rFonts w:ascii="Times New Roman" w:hAnsi="Times New Roman"/>
          <w:sz w:val="24"/>
          <w:szCs w:val="24"/>
        </w:rPr>
        <w:t xml:space="preserve"> contestate</w:t>
      </w:r>
      <w:r w:rsidRPr="00250C7F">
        <w:rPr>
          <w:rFonts w:ascii="Times New Roman" w:hAnsi="Times New Roman"/>
          <w:iCs/>
          <w:sz w:val="24"/>
          <w:szCs w:val="24"/>
        </w:rPr>
        <w:t xml:space="preserve"> </w:t>
      </w:r>
      <w:r w:rsidRPr="00250C7F">
        <w:rPr>
          <w:rFonts w:ascii="Times New Roman" w:hAnsi="Times New Roman"/>
          <w:sz w:val="24"/>
          <w:szCs w:val="24"/>
        </w:rPr>
        <w:t xml:space="preserve">lipsește complet </w:t>
      </w:r>
      <w:r w:rsidRPr="00250C7F">
        <w:rPr>
          <w:rFonts w:ascii="Times New Roman" w:hAnsi="Times New Roman"/>
          <w:iCs/>
          <w:sz w:val="24"/>
          <w:szCs w:val="24"/>
        </w:rPr>
        <w:t>prezentarea situației de fapt care să se încadreze în dispozițiile art.</w:t>
      </w:r>
      <w:r w:rsidRPr="00250C7F">
        <w:rPr>
          <w:rFonts w:ascii="Times New Roman" w:hAnsi="Times New Roman"/>
          <w:sz w:val="24"/>
          <w:szCs w:val="24"/>
        </w:rPr>
        <w:t xml:space="preserve"> 71 alin. (1) lit. f) din O.U.G. nr. 194/2002, solicitantul fiind informat doar că prezintă pericol pentru ordinea publică sau securitatea națională.</w:t>
      </w:r>
    </w:p>
    <w:p w14:paraId="141C9897" w14:textId="77777777" w:rsidR="00743B23" w:rsidRPr="00250C7F" w:rsidRDefault="00743B23" w:rsidP="00A71721">
      <w:pPr>
        <w:spacing w:after="0" w:line="276" w:lineRule="auto"/>
        <w:ind w:right="-2" w:firstLine="720"/>
        <w:jc w:val="both"/>
      </w:pPr>
      <w:r w:rsidRPr="00250C7F">
        <w:rPr>
          <w:rFonts w:ascii="Times New Roman" w:hAnsi="Times New Roman"/>
          <w:iCs/>
          <w:sz w:val="24"/>
          <w:szCs w:val="24"/>
        </w:rPr>
        <w:t>Î</w:t>
      </w:r>
      <w:r w:rsidRPr="00250C7F">
        <w:rPr>
          <w:rFonts w:ascii="Times New Roman" w:hAnsi="Times New Roman"/>
          <w:sz w:val="24"/>
          <w:szCs w:val="24"/>
        </w:rPr>
        <w:t>n aceste condiții, simpla reproducere a conţinutului textului de lege mai sus enunțat</w:t>
      </w:r>
      <w:r w:rsidRPr="00250C7F">
        <w:rPr>
          <w:rFonts w:ascii="Times New Roman" w:hAnsi="Times New Roman"/>
          <w:iCs/>
          <w:sz w:val="24"/>
          <w:szCs w:val="24"/>
        </w:rPr>
        <w:t xml:space="preserve"> </w:t>
      </w:r>
      <w:r w:rsidRPr="00250C7F">
        <w:rPr>
          <w:rFonts w:ascii="Times New Roman" w:hAnsi="Times New Roman"/>
          <w:sz w:val="24"/>
          <w:szCs w:val="24"/>
        </w:rPr>
        <w:t>nu asigură cerința motivării adresei atacate, din perspectiva indicării elementelor de fapt care au stat la baza refuzului de acordare a dreptului de ședere pe termen lung, împiedicând instanța în mod obiectiv să examineze circumstanțele care justifică măsura dispusă.</w:t>
      </w:r>
    </w:p>
    <w:p w14:paraId="28168511" w14:textId="77777777" w:rsidR="00743B23" w:rsidRPr="00250C7F" w:rsidRDefault="00743B23" w:rsidP="00A71721">
      <w:pPr>
        <w:autoSpaceDE w:val="0"/>
        <w:spacing w:after="0" w:line="276" w:lineRule="auto"/>
        <w:ind w:right="-2"/>
        <w:jc w:val="both"/>
        <w:rPr>
          <w:rFonts w:ascii="Times New Roman" w:hAnsi="Times New Roman"/>
          <w:sz w:val="24"/>
          <w:szCs w:val="24"/>
        </w:rPr>
      </w:pPr>
      <w:r w:rsidRPr="00250C7F">
        <w:rPr>
          <w:rFonts w:ascii="Times New Roman" w:hAnsi="Times New Roman"/>
          <w:sz w:val="24"/>
          <w:szCs w:val="24"/>
        </w:rPr>
        <w:t xml:space="preserve"> </w:t>
      </w:r>
      <w:r w:rsidRPr="00250C7F">
        <w:rPr>
          <w:rFonts w:ascii="Times New Roman" w:hAnsi="Times New Roman"/>
          <w:sz w:val="24"/>
          <w:szCs w:val="24"/>
        </w:rPr>
        <w:tab/>
        <w:t>Această concluzie se relevă cu atât mai mult cu cât, noțiunea de pericol pentru securitatea națională se impune a fi analizată prin prisma prevederilor art. 3 din Legea nr. 51/1991 privind securitatea naţională a României, care enumeră amenințările la adresa securității naționale.</w:t>
      </w:r>
    </w:p>
    <w:p w14:paraId="01CA5A8D" w14:textId="6BC1B405" w:rsidR="006B5492" w:rsidRPr="00250C7F" w:rsidRDefault="00743B23" w:rsidP="00346BA1">
      <w:pPr>
        <w:spacing w:after="0" w:line="276" w:lineRule="auto"/>
        <w:ind w:right="-2" w:firstLine="720"/>
        <w:jc w:val="both"/>
        <w:rPr>
          <w:rFonts w:ascii="Times New Roman" w:hAnsi="Times New Roman"/>
          <w:sz w:val="24"/>
          <w:szCs w:val="24"/>
        </w:rPr>
      </w:pPr>
      <w:r w:rsidRPr="00250C7F">
        <w:rPr>
          <w:rFonts w:ascii="Times New Roman" w:hAnsi="Times New Roman"/>
          <w:sz w:val="24"/>
          <w:szCs w:val="24"/>
        </w:rPr>
        <w:t xml:space="preserve">În raport de argumentele arătate anterior, reținând că adresa contestată nu menționează situația de fapt avută în vedere la refuzul acordării dreptului de ședere pe termen lung, împrejurare </w:t>
      </w:r>
      <w:r w:rsidRPr="00250C7F">
        <w:rPr>
          <w:rFonts w:ascii="Times New Roman" w:hAnsi="Times New Roman"/>
          <w:sz w:val="24"/>
          <w:szCs w:val="24"/>
        </w:rPr>
        <w:lastRenderedPageBreak/>
        <w:t>ce echivalează cu nemotivarea actului atacat și împiedică exercitarea controlului judiciar asupra elementelor de fapt care au servit drept bază de exercitare a puterii de apreciere de către autoritatea pârâtă, instanța de recurs a admis acțiunea dedusă judecății, cu conseci</w:t>
      </w:r>
      <w:r w:rsidR="006B5492" w:rsidRPr="00250C7F">
        <w:rPr>
          <w:rFonts w:ascii="Times New Roman" w:hAnsi="Times New Roman"/>
          <w:sz w:val="24"/>
          <w:szCs w:val="24"/>
        </w:rPr>
        <w:t>nța anulării adresei contestate.</w:t>
      </w:r>
    </w:p>
    <w:p w14:paraId="269F7181" w14:textId="77777777" w:rsidR="00B01906" w:rsidRPr="00250C7F" w:rsidRDefault="00B01906" w:rsidP="00C829A1">
      <w:pPr>
        <w:spacing w:after="0" w:line="276" w:lineRule="auto"/>
        <w:ind w:right="325"/>
        <w:jc w:val="both"/>
        <w:rPr>
          <w:sz w:val="24"/>
          <w:szCs w:val="24"/>
        </w:rPr>
      </w:pPr>
    </w:p>
    <w:p w14:paraId="6E22CB4E" w14:textId="1BB820AD" w:rsidR="00071798" w:rsidRPr="00250C7F" w:rsidRDefault="0016020A" w:rsidP="00ED11C0">
      <w:pPr>
        <w:pStyle w:val="Heading1"/>
        <w:spacing w:line="276" w:lineRule="auto"/>
        <w:rPr>
          <w:sz w:val="24"/>
          <w:szCs w:val="24"/>
          <w:lang w:val="ro-RO"/>
        </w:rPr>
      </w:pPr>
      <w:bookmarkStart w:id="8" w:name="_Toc84584799"/>
      <w:r w:rsidRPr="00250C7F">
        <w:rPr>
          <w:sz w:val="24"/>
          <w:szCs w:val="24"/>
          <w:lang w:val="ro-RO"/>
        </w:rPr>
        <w:t>DREPT CIVIL</w:t>
      </w:r>
      <w:bookmarkEnd w:id="8"/>
    </w:p>
    <w:p w14:paraId="47DE6CB1" w14:textId="77777777" w:rsidR="00071798" w:rsidRPr="00250C7F" w:rsidRDefault="00071798" w:rsidP="00ED11C0">
      <w:pPr>
        <w:spacing w:after="0" w:line="276" w:lineRule="auto"/>
        <w:rPr>
          <w:highlight w:val="yellow"/>
          <w:lang w:eastAsia="ro-RO"/>
        </w:rPr>
      </w:pPr>
    </w:p>
    <w:p w14:paraId="3AFC97CB" w14:textId="77777777" w:rsidR="00AB24FB" w:rsidRPr="00250C7F" w:rsidRDefault="00071798" w:rsidP="00ED11C0">
      <w:pPr>
        <w:pStyle w:val="Heading2"/>
        <w:spacing w:line="276" w:lineRule="auto"/>
        <w:jc w:val="center"/>
        <w:rPr>
          <w:rFonts w:ascii="Times New Roman" w:hAnsi="Times New Roman" w:cs="Times New Roman"/>
          <w:b/>
          <w:bCs/>
          <w:i/>
          <w:color w:val="auto"/>
          <w:sz w:val="24"/>
          <w:szCs w:val="24"/>
        </w:rPr>
      </w:pPr>
      <w:bookmarkStart w:id="9" w:name="_Toc45088493"/>
      <w:bookmarkStart w:id="10" w:name="_Toc84584800"/>
      <w:r w:rsidRPr="00250C7F">
        <w:rPr>
          <w:rFonts w:ascii="Times New Roman" w:hAnsi="Times New Roman" w:cs="Times New Roman"/>
          <w:b/>
          <w:bCs/>
          <w:i/>
          <w:color w:val="auto"/>
          <w:sz w:val="24"/>
          <w:szCs w:val="24"/>
        </w:rPr>
        <w:t xml:space="preserve">I. </w:t>
      </w:r>
      <w:bookmarkEnd w:id="9"/>
      <w:r w:rsidRPr="00250C7F">
        <w:rPr>
          <w:rFonts w:ascii="Times New Roman" w:hAnsi="Times New Roman" w:cs="Times New Roman"/>
          <w:b/>
          <w:bCs/>
          <w:i/>
          <w:color w:val="auto"/>
          <w:sz w:val="24"/>
          <w:szCs w:val="24"/>
        </w:rPr>
        <w:t>Obligaţii</w:t>
      </w:r>
      <w:bookmarkEnd w:id="10"/>
    </w:p>
    <w:p w14:paraId="3AA0414C" w14:textId="2E321E14" w:rsidR="00581DC1" w:rsidRPr="00250C7F" w:rsidRDefault="00581DC1" w:rsidP="00346BA1">
      <w:pPr>
        <w:spacing w:after="0" w:line="276" w:lineRule="auto"/>
        <w:rPr>
          <w:highlight w:val="yellow"/>
          <w:lang w:eastAsia="ro-RO"/>
        </w:rPr>
      </w:pPr>
    </w:p>
    <w:p w14:paraId="31400B16" w14:textId="585CA81C" w:rsidR="006B5492" w:rsidRPr="00250C7F" w:rsidRDefault="00AB24FB" w:rsidP="00346BA1">
      <w:pPr>
        <w:pStyle w:val="Heading3"/>
        <w:spacing w:line="276" w:lineRule="auto"/>
        <w:jc w:val="both"/>
        <w:rPr>
          <w:rFonts w:ascii="Times New Roman" w:eastAsia="Calibri" w:hAnsi="Times New Roman" w:cs="Times New Roman"/>
          <w:b/>
          <w:bCs/>
          <w:iCs/>
          <w:color w:val="000000"/>
        </w:rPr>
      </w:pPr>
      <w:bookmarkStart w:id="11" w:name="_Toc84584801"/>
      <w:r w:rsidRPr="00250C7F">
        <w:rPr>
          <w:rFonts w:ascii="Times New Roman" w:eastAsia="Times New Roman" w:hAnsi="Times New Roman" w:cs="Times New Roman"/>
          <w:b/>
          <w:color w:val="auto"/>
          <w:lang w:eastAsia="ro-RO"/>
        </w:rPr>
        <w:t>1.</w:t>
      </w:r>
      <w:r w:rsidR="00ED11C0" w:rsidRPr="00250C7F">
        <w:rPr>
          <w:rFonts w:ascii="Times New Roman" w:eastAsia="Calibri" w:hAnsi="Times New Roman" w:cs="Times New Roman"/>
          <w:b/>
          <w:bCs/>
          <w:iCs/>
          <w:color w:val="000000"/>
        </w:rPr>
        <w:t xml:space="preserve"> Persoană aflată în executarea unei pedepse privative de libertate. Refuzul autorităților de a-i permite să participe la înmormântarea părinților. Atingere adusă dreptului la viața privată. Prejudiciu moral. Despăgubiri</w:t>
      </w:r>
      <w:bookmarkEnd w:id="11"/>
      <w:r w:rsidR="00ED11C0" w:rsidRPr="00250C7F">
        <w:rPr>
          <w:rFonts w:ascii="Times New Roman" w:eastAsia="Calibri" w:hAnsi="Times New Roman" w:cs="Times New Roman"/>
          <w:b/>
          <w:bCs/>
          <w:iCs/>
          <w:color w:val="000000"/>
        </w:rPr>
        <w:t xml:space="preserve"> </w:t>
      </w:r>
    </w:p>
    <w:p w14:paraId="5EBD36CD" w14:textId="77777777" w:rsidR="00ED11C0" w:rsidRPr="00250C7F" w:rsidRDefault="00ED11C0" w:rsidP="00ED11C0">
      <w:pPr>
        <w:spacing w:after="0" w:line="276" w:lineRule="auto"/>
        <w:ind w:firstLine="382"/>
        <w:jc w:val="right"/>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CEDO, art. 8</w:t>
      </w:r>
    </w:p>
    <w:p w14:paraId="1BEC39FB" w14:textId="77777777" w:rsidR="00ED11C0" w:rsidRPr="00250C7F" w:rsidRDefault="00ED11C0" w:rsidP="00ED11C0">
      <w:pPr>
        <w:spacing w:after="0" w:line="276" w:lineRule="auto"/>
        <w:ind w:firstLine="382"/>
        <w:jc w:val="right"/>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                                                                                                                    C.civ., art. 1357</w:t>
      </w:r>
    </w:p>
    <w:p w14:paraId="50790E0D" w14:textId="77777777" w:rsidR="00ED11C0" w:rsidRPr="00250C7F" w:rsidRDefault="00ED11C0" w:rsidP="00ED11C0">
      <w:pPr>
        <w:spacing w:after="0" w:line="276" w:lineRule="auto"/>
        <w:ind w:firstLine="382"/>
        <w:jc w:val="right"/>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Legea nr. 254/2013, art. 98, art. 99</w:t>
      </w:r>
    </w:p>
    <w:p w14:paraId="592FC9D5" w14:textId="22ED1752" w:rsidR="00D71A7D" w:rsidRPr="00250C7F" w:rsidRDefault="00ED11C0" w:rsidP="00ED11C0">
      <w:pPr>
        <w:spacing w:after="0" w:line="276" w:lineRule="auto"/>
        <w:ind w:firstLine="382"/>
        <w:jc w:val="right"/>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Regulamentul de aplicare a Legii nr. 254/2013, art. 213 alin. (2), alin. (3)</w:t>
      </w:r>
    </w:p>
    <w:p w14:paraId="7CA4769B" w14:textId="77777777" w:rsidR="00ED11C0" w:rsidRPr="00250C7F" w:rsidRDefault="00ED11C0" w:rsidP="00ED11C0">
      <w:pPr>
        <w:spacing w:after="0" w:line="276" w:lineRule="auto"/>
        <w:ind w:firstLine="382"/>
        <w:jc w:val="right"/>
        <w:rPr>
          <w:rFonts w:ascii="Times New Roman" w:eastAsia="Times New Roman" w:hAnsi="Times New Roman" w:cs="Times New Roman"/>
          <w:sz w:val="24"/>
          <w:szCs w:val="24"/>
          <w:highlight w:val="yellow"/>
          <w:lang w:eastAsia="ro-RO"/>
        </w:rPr>
      </w:pPr>
    </w:p>
    <w:p w14:paraId="6EEA01C4"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
          <w:iCs/>
          <w:sz w:val="24"/>
          <w:szCs w:val="24"/>
        </w:rPr>
      </w:pPr>
      <w:r w:rsidRPr="00250C7F">
        <w:rPr>
          <w:rFonts w:ascii="Times New Roman" w:eastAsia="Calibri" w:hAnsi="Times New Roman" w:cs="Times New Roman"/>
          <w:i/>
          <w:iCs/>
          <w:sz w:val="24"/>
          <w:szCs w:val="24"/>
        </w:rPr>
        <w:t xml:space="preserve">Drepturile reglementate de art. 8 din Convenţia Europeană sunt incluse în categoria drepturilor condiţionale, întrucât ingerinţa unei autorităţi publice este permisă în limita în care este prevăzută de lege şi constituie o măsură care, într-o societate democratică, este necesară, printre altele, pentru siguranţa publică, apărarea ordinii publice, prevenirea faptelor penale ori protejarea drepturilor şi intereselor legitime ale altor persoane. </w:t>
      </w:r>
    </w:p>
    <w:p w14:paraId="2252AE52"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
          <w:iCs/>
          <w:color w:val="000000"/>
          <w:sz w:val="24"/>
          <w:szCs w:val="24"/>
        </w:rPr>
      </w:pPr>
      <w:r w:rsidRPr="00250C7F">
        <w:rPr>
          <w:rFonts w:ascii="Times New Roman" w:eastAsia="Calibri" w:hAnsi="Times New Roman" w:cs="Times New Roman"/>
          <w:i/>
          <w:iCs/>
          <w:sz w:val="24"/>
          <w:szCs w:val="24"/>
        </w:rPr>
        <w:t xml:space="preserve">Astfel, întrucât motivele invocate de autorități în justificarea refuzului de a-i acorda reclamantului permisiunea de ieșire din penitenciar pentru a participa la înmormântarea părinților săi nu sunt suficiente pentru a se considera că ingerința în dreptul la respectarea vieții sale private era necesară într-o societate democratică din perspectiva jurisprudenței Curții Europene a Drepturilor Omului, </w:t>
      </w:r>
      <w:r w:rsidRPr="00250C7F">
        <w:rPr>
          <w:rFonts w:ascii="Times New Roman" w:eastAsia="Calibri" w:hAnsi="Times New Roman" w:cs="Times New Roman"/>
          <w:i/>
          <w:iCs/>
          <w:color w:val="000000"/>
          <w:sz w:val="24"/>
          <w:szCs w:val="24"/>
        </w:rPr>
        <w:t>nefiind demonstrat în ce măsură acordarea beneficiului prevăzut de lege ar fi fost de natură să genereze o stare de pericol pentru ordinea publică și siguranța cetățenilor, acesta este îndreptățit la acordarea unei satisfacţii echitabile pentru prejudiciul moral cauzat.</w:t>
      </w:r>
    </w:p>
    <w:p w14:paraId="58F64BD7" w14:textId="77777777" w:rsidR="00ED11C0" w:rsidRPr="00250C7F" w:rsidRDefault="00ED11C0" w:rsidP="00ED11C0">
      <w:pPr>
        <w:widowControl w:val="0"/>
        <w:autoSpaceDE w:val="0"/>
        <w:autoSpaceDN w:val="0"/>
        <w:adjustRightInd w:val="0"/>
        <w:spacing w:after="0" w:line="276" w:lineRule="auto"/>
        <w:jc w:val="both"/>
        <w:rPr>
          <w:rFonts w:ascii="Times New Roman" w:eastAsia="Calibri" w:hAnsi="Times New Roman" w:cs="Times New Roman"/>
          <w:bCs/>
          <w:i/>
          <w:iCs/>
          <w:sz w:val="24"/>
          <w:szCs w:val="24"/>
        </w:rPr>
      </w:pPr>
      <w:r w:rsidRPr="00250C7F">
        <w:rPr>
          <w:rFonts w:ascii="Times New Roman" w:eastAsia="Calibri" w:hAnsi="Times New Roman" w:cs="Times New Roman"/>
          <w:bCs/>
          <w:i/>
          <w:iCs/>
          <w:sz w:val="24"/>
          <w:szCs w:val="24"/>
        </w:rPr>
        <w:t xml:space="preserve">           Ca atare, sub aspectul existenței faptei ilicite, refuzul autorităților poate fi reținut ca temei al răspunderii civile delictuale generatoare a obligației de despăgubire, iar în privința prejudiciului reclamat, se reține că acesta reprezintă o consecinţă directă a faptei autorităţilor de a da curs cererii formulate și atingerii valorilor morale protejate de lege - demnitatea umană şi viaţa de familie, cu impact negativ în plan psihic şi afectiv ce a determinat producerea unui prejudiciu moral concretizat în suferința generată reclamantului de semnificația evenimentului produs în viața sa, dublată de sentimentul de frustrare și neputință generat de imposibilitatea de a participa la ceremonia de înmormântare a părinților săi.</w:t>
      </w:r>
    </w:p>
    <w:p w14:paraId="338C760D" w14:textId="77777777" w:rsidR="006B1DD9" w:rsidRPr="00250C7F" w:rsidRDefault="006B1DD9" w:rsidP="00ED11C0">
      <w:pPr>
        <w:spacing w:after="0" w:line="276" w:lineRule="auto"/>
        <w:rPr>
          <w:rFonts w:ascii="Times New Roman" w:eastAsia="Times New Roman" w:hAnsi="Times New Roman" w:cs="Times New Roman"/>
          <w:b/>
          <w:i/>
          <w:sz w:val="24"/>
          <w:szCs w:val="24"/>
          <w:highlight w:val="yellow"/>
        </w:rPr>
      </w:pPr>
    </w:p>
    <w:p w14:paraId="2E999A27" w14:textId="70FB2680" w:rsidR="006B1DD9" w:rsidRPr="00250C7F" w:rsidRDefault="006B1DD9" w:rsidP="00ED11C0">
      <w:pPr>
        <w:spacing w:after="0" w:line="276" w:lineRule="auto"/>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I.C.C.J., Secţia I civilă, decizia nr. </w:t>
      </w:r>
      <w:r w:rsidR="00ED11C0" w:rsidRPr="00250C7F">
        <w:rPr>
          <w:rFonts w:ascii="Times New Roman" w:eastAsia="Times New Roman" w:hAnsi="Times New Roman" w:cs="Times New Roman"/>
          <w:sz w:val="24"/>
          <w:szCs w:val="24"/>
        </w:rPr>
        <w:t>423 din 9 martie 2021</w:t>
      </w:r>
    </w:p>
    <w:p w14:paraId="55BBA44E" w14:textId="77777777" w:rsidR="006B1DD9" w:rsidRPr="00250C7F" w:rsidRDefault="006B1DD9" w:rsidP="00ED11C0">
      <w:pPr>
        <w:spacing w:after="0" w:line="276" w:lineRule="auto"/>
        <w:jc w:val="both"/>
        <w:rPr>
          <w:rFonts w:ascii="Times New Roman" w:eastAsia="Times New Roman" w:hAnsi="Times New Roman" w:cs="Times New Roman"/>
          <w:sz w:val="24"/>
          <w:szCs w:val="24"/>
          <w:highlight w:val="yellow"/>
        </w:rPr>
      </w:pPr>
    </w:p>
    <w:p w14:paraId="4F603097" w14:textId="77777777" w:rsidR="00ED11C0" w:rsidRPr="00250C7F" w:rsidRDefault="00ED11C0" w:rsidP="00ED11C0">
      <w:pPr>
        <w:widowControl w:val="0"/>
        <w:shd w:val="clear" w:color="auto" w:fill="FFFFFF"/>
        <w:autoSpaceDE w:val="0"/>
        <w:autoSpaceDN w:val="0"/>
        <w:adjustRightInd w:val="0"/>
        <w:spacing w:after="0" w:line="276" w:lineRule="auto"/>
        <w:ind w:left="567"/>
        <w:contextualSpacing/>
        <w:jc w:val="both"/>
        <w:rPr>
          <w:rFonts w:ascii="Times New Roman" w:eastAsia="Calibri" w:hAnsi="Times New Roman" w:cs="Times New Roman"/>
          <w:b/>
          <w:bCs/>
          <w:color w:val="000000"/>
          <w:sz w:val="24"/>
          <w:szCs w:val="24"/>
        </w:rPr>
      </w:pPr>
      <w:r w:rsidRPr="00250C7F">
        <w:rPr>
          <w:rFonts w:ascii="Times New Roman" w:eastAsia="Calibri" w:hAnsi="Times New Roman" w:cs="Times New Roman"/>
          <w:b/>
          <w:bCs/>
          <w:color w:val="000000"/>
          <w:sz w:val="24"/>
          <w:szCs w:val="24"/>
        </w:rPr>
        <w:t>I. Circumstanţele cauzei</w:t>
      </w:r>
    </w:p>
    <w:p w14:paraId="3834F975" w14:textId="77777777" w:rsidR="00ED11C0" w:rsidRPr="00250C7F" w:rsidRDefault="00ED11C0" w:rsidP="00ED11C0">
      <w:pPr>
        <w:widowControl w:val="0"/>
        <w:shd w:val="clear" w:color="auto" w:fill="FFFFFF"/>
        <w:autoSpaceDE w:val="0"/>
        <w:autoSpaceDN w:val="0"/>
        <w:adjustRightInd w:val="0"/>
        <w:spacing w:after="0" w:line="276" w:lineRule="auto"/>
        <w:rPr>
          <w:rFonts w:ascii="Times New Roman" w:eastAsia="Calibri" w:hAnsi="Times New Roman" w:cs="Times New Roman"/>
          <w:b/>
          <w:bCs/>
          <w:iCs/>
          <w:color w:val="000000"/>
          <w:sz w:val="24"/>
          <w:szCs w:val="24"/>
        </w:rPr>
      </w:pPr>
      <w:r w:rsidRPr="00250C7F">
        <w:rPr>
          <w:rFonts w:ascii="Times New Roman" w:eastAsia="Calibri" w:hAnsi="Times New Roman" w:cs="Times New Roman"/>
          <w:b/>
          <w:bCs/>
          <w:i/>
          <w:iCs/>
          <w:color w:val="000000"/>
          <w:sz w:val="24"/>
          <w:szCs w:val="24"/>
        </w:rPr>
        <w:t xml:space="preserve">        </w:t>
      </w:r>
      <w:r w:rsidRPr="00250C7F">
        <w:rPr>
          <w:rFonts w:ascii="Times New Roman" w:eastAsia="Calibri" w:hAnsi="Times New Roman" w:cs="Times New Roman"/>
          <w:b/>
          <w:bCs/>
          <w:iCs/>
          <w:color w:val="000000"/>
          <w:sz w:val="24"/>
          <w:szCs w:val="24"/>
        </w:rPr>
        <w:t>1. Obiectul cererii de chemare în judecată</w:t>
      </w:r>
    </w:p>
    <w:p w14:paraId="0D55E9EF" w14:textId="77777777" w:rsidR="00ED11C0" w:rsidRPr="00250C7F" w:rsidRDefault="00ED11C0" w:rsidP="00ED11C0">
      <w:pPr>
        <w:widowControl w:val="0"/>
        <w:shd w:val="clear" w:color="auto" w:fill="FFFFFF"/>
        <w:autoSpaceDE w:val="0"/>
        <w:autoSpaceDN w:val="0"/>
        <w:adjustRightInd w:val="0"/>
        <w:spacing w:after="0" w:line="276" w:lineRule="auto"/>
        <w:ind w:hanging="142"/>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 xml:space="preserve"> </w:t>
      </w:r>
      <w:r w:rsidRPr="00250C7F">
        <w:rPr>
          <w:rFonts w:ascii="Times New Roman" w:eastAsia="Calibri" w:hAnsi="Times New Roman" w:cs="Times New Roman"/>
          <w:color w:val="000000"/>
          <w:sz w:val="24"/>
          <w:szCs w:val="24"/>
        </w:rPr>
        <w:tab/>
        <w:t xml:space="preserve">        Prin cererea înregistrată la data de 13.03.2018 pe rolul Tribunalului Neamţ, reclamantul A. a </w:t>
      </w:r>
      <w:r w:rsidRPr="00250C7F">
        <w:rPr>
          <w:rFonts w:ascii="Times New Roman" w:eastAsia="Calibri" w:hAnsi="Times New Roman" w:cs="Times New Roman"/>
          <w:color w:val="000000"/>
          <w:sz w:val="24"/>
          <w:szCs w:val="24"/>
        </w:rPr>
        <w:lastRenderedPageBreak/>
        <w:t>chemat în judecată pe pârâţii Penitenciarul Bucureşti Rahova, Administraţia Naţională a Penitenciarelor şi Statul Român, prin Ministerul Finanţelor, prin Direcția Generală Regională a Finanțelor Publice Iași, prin Administrația Județeană a Finațelor Publice Neamț, solicitând obligarea acestora la plata sumei de 100.000 euro cu titlu de daune, pentru încălcarea dreptului de a participa la înmormântarea părinţilor săi, decedaţi la data de 22.10.2016.</w:t>
      </w:r>
    </w:p>
    <w:p w14:paraId="79A3B917" w14:textId="0A663041" w:rsidR="00ED11C0" w:rsidRPr="00250C7F" w:rsidRDefault="00ED11C0" w:rsidP="00ED11C0">
      <w:pPr>
        <w:widowControl w:val="0"/>
        <w:shd w:val="clear" w:color="auto" w:fill="FFFFFF"/>
        <w:autoSpaceDE w:val="0"/>
        <w:autoSpaceDN w:val="0"/>
        <w:adjustRightInd w:val="0"/>
        <w:spacing w:after="0" w:line="276" w:lineRule="auto"/>
        <w:ind w:firstLine="614"/>
        <w:jc w:val="both"/>
        <w:rPr>
          <w:rFonts w:ascii="Times New Roman" w:eastAsia="Calibri" w:hAnsi="Times New Roman" w:cs="Times New Roman"/>
          <w:color w:val="000000"/>
          <w:sz w:val="24"/>
          <w:szCs w:val="24"/>
        </w:rPr>
      </w:pPr>
      <w:r w:rsidRPr="00250C7F">
        <w:rPr>
          <w:rFonts w:ascii="Times New Roman" w:eastAsia="Calibri" w:hAnsi="Times New Roman" w:cs="Times New Roman"/>
          <w:b/>
          <w:bCs/>
          <w:iCs/>
          <w:color w:val="000000"/>
          <w:sz w:val="24"/>
          <w:szCs w:val="24"/>
        </w:rPr>
        <w:t>Hotărârea pronunțată în primă instanță</w:t>
      </w:r>
    </w:p>
    <w:p w14:paraId="19009906" w14:textId="77777777" w:rsidR="00ED11C0" w:rsidRPr="00250C7F" w:rsidRDefault="00ED11C0" w:rsidP="00ED11C0">
      <w:pPr>
        <w:widowControl w:val="0"/>
        <w:autoSpaceDE w:val="0"/>
        <w:autoSpaceDN w:val="0"/>
        <w:adjustRightInd w:val="0"/>
        <w:spacing w:after="0" w:line="276" w:lineRule="auto"/>
        <w:ind w:firstLineChars="256" w:firstLine="614"/>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Prin sentinţa civilă nr. 140 din 13.03.2019, Tribunalul Neamţ - Secţia I civilă şi de contencios administrativ a respins excepţia inadmisibilităţii acţiunii şi excepţia lipsei calităţii procesuale pasive a pârâţilor Penitenciarul Bucureşti Rahova şi Administraţia Naţională a Penitenciarelor; a admis excepţia lipsei calităţii procesuale pasive a Statului Român; a respins acţiunea formulată de reclamantul A. în contradictoriu cu pârâtul Statul Român, prin Ministerul Finanţelor, ca fiind formulată împotriva unei persoane lipsite de calitate</w:t>
      </w:r>
      <w:r w:rsidRPr="00250C7F">
        <w:rPr>
          <w:rFonts w:ascii="Times New Roman" w:eastAsia="Calibri" w:hAnsi="Times New Roman" w:cs="Times New Roman"/>
          <w:iCs/>
          <w:color w:val="000000"/>
          <w:sz w:val="24"/>
          <w:szCs w:val="24"/>
        </w:rPr>
        <w:t xml:space="preserve"> procesuală pasivă; a admis în parte acţiunea formulată de reclamantul A. în contradictoriu cu pârâţii Penitenciarul Bucureşti Rahova şi Administraţia Naţională a Penitenciarelor; a obligat pârâţii Penitenciarul Bucureşti Rahova şi Administraţia Naţională a Penitenciarelor, în solidar, să plătească reclamantului suma de 10.000 lei, cu titlu de daune morale.</w:t>
      </w:r>
    </w:p>
    <w:p w14:paraId="46FB43C9" w14:textId="77777777" w:rsidR="00ED11C0" w:rsidRPr="00250C7F" w:rsidRDefault="00ED11C0" w:rsidP="00ED11C0">
      <w:pPr>
        <w:widowControl w:val="0"/>
        <w:numPr>
          <w:ilvl w:val="0"/>
          <w:numId w:val="41"/>
        </w:numPr>
        <w:shd w:val="clear" w:color="auto" w:fill="FFFFFF"/>
        <w:autoSpaceDE w:val="0"/>
        <w:autoSpaceDN w:val="0"/>
        <w:adjustRightInd w:val="0"/>
        <w:spacing w:after="0" w:line="276" w:lineRule="auto"/>
        <w:contextualSpacing/>
        <w:jc w:val="both"/>
        <w:rPr>
          <w:rFonts w:ascii="Times New Roman" w:eastAsia="Calibri" w:hAnsi="Times New Roman" w:cs="Times New Roman"/>
          <w:b/>
          <w:bCs/>
          <w:iCs/>
          <w:color w:val="000000"/>
          <w:sz w:val="24"/>
          <w:szCs w:val="24"/>
        </w:rPr>
      </w:pPr>
      <w:r w:rsidRPr="00250C7F">
        <w:rPr>
          <w:rFonts w:ascii="Times New Roman" w:eastAsia="Calibri" w:hAnsi="Times New Roman" w:cs="Times New Roman"/>
          <w:b/>
          <w:bCs/>
          <w:iCs/>
          <w:color w:val="000000"/>
          <w:sz w:val="24"/>
          <w:szCs w:val="24"/>
        </w:rPr>
        <w:t>Hotărârea pronunțată în apel</w:t>
      </w:r>
    </w:p>
    <w:p w14:paraId="3064503C" w14:textId="77777777" w:rsidR="00ED11C0" w:rsidRPr="00250C7F" w:rsidRDefault="00ED11C0" w:rsidP="00ED11C0">
      <w:pPr>
        <w:widowControl w:val="0"/>
        <w:autoSpaceDE w:val="0"/>
        <w:autoSpaceDN w:val="0"/>
        <w:adjustRightInd w:val="0"/>
        <w:spacing w:after="0" w:line="276" w:lineRule="auto"/>
        <w:ind w:firstLine="367"/>
        <w:jc w:val="both"/>
        <w:rPr>
          <w:rFonts w:ascii="Times New Roman" w:eastAsia="Calibri" w:hAnsi="Times New Roman" w:cs="Times New Roman"/>
          <w:iCs/>
          <w:color w:val="000000"/>
          <w:sz w:val="24"/>
          <w:szCs w:val="24"/>
        </w:rPr>
      </w:pPr>
      <w:r w:rsidRPr="00250C7F">
        <w:rPr>
          <w:rFonts w:ascii="Times New Roman" w:eastAsia="Calibri" w:hAnsi="Times New Roman" w:cs="Times New Roman"/>
          <w:color w:val="000000"/>
          <w:sz w:val="24"/>
          <w:szCs w:val="24"/>
        </w:rPr>
        <w:t xml:space="preserve">   </w:t>
      </w:r>
      <w:r w:rsidRPr="00250C7F">
        <w:rPr>
          <w:rFonts w:ascii="Times New Roman" w:eastAsia="Calibri" w:hAnsi="Times New Roman" w:cs="Times New Roman"/>
          <w:color w:val="000000"/>
          <w:sz w:val="24"/>
          <w:szCs w:val="24"/>
        </w:rPr>
        <w:tab/>
      </w:r>
      <w:r w:rsidRPr="00250C7F">
        <w:rPr>
          <w:rFonts w:ascii="Times New Roman" w:eastAsia="Calibri" w:hAnsi="Times New Roman" w:cs="Times New Roman"/>
          <w:iCs/>
          <w:color w:val="000000"/>
          <w:sz w:val="24"/>
          <w:szCs w:val="24"/>
        </w:rPr>
        <w:t>Prin decizia nr. 776 din 06.11.2019, Curtea de Apel Bacău - Secţia I civilă a respins apelurile declarate de apelantul-pârât Penitenciarul Bucureşti Rahova şi de apelantul-reclamant A. împotriva sentinţei civile nr. 140/2019, pronunţată de Tribunalul Neamţ - Secţia I civilă şi de contencios administrativ; a admis apelul promovat de pârâta Administraţia Naţională a Penitenciarelor împotriva aceleiaşi sentinţe; a schimbat în parte sentinţa apelată în sensul că a admis excepţia lipsei calităţii procesuale pasive a Administraţiei Naţionale a Penitenciarelor Bucureşti şi, în consecinţă, a respins acţiunea formulată în contradictoriu cu această pârâtă; a menținut celelalte dispoziţii ale sentinţei care nu erau contrare prezentei decizii.</w:t>
      </w:r>
    </w:p>
    <w:p w14:paraId="1366DBF3" w14:textId="77777777" w:rsidR="00ED11C0" w:rsidRPr="00250C7F" w:rsidRDefault="00ED11C0" w:rsidP="00ED11C0">
      <w:pPr>
        <w:widowControl w:val="0"/>
        <w:numPr>
          <w:ilvl w:val="0"/>
          <w:numId w:val="41"/>
        </w:numPr>
        <w:shd w:val="clear" w:color="auto" w:fill="FFFFFF"/>
        <w:autoSpaceDE w:val="0"/>
        <w:autoSpaceDN w:val="0"/>
        <w:adjustRightInd w:val="0"/>
        <w:spacing w:after="0" w:line="276" w:lineRule="auto"/>
        <w:contextualSpacing/>
        <w:jc w:val="both"/>
        <w:rPr>
          <w:rFonts w:ascii="Times New Roman" w:eastAsia="Calibri" w:hAnsi="Times New Roman" w:cs="Times New Roman"/>
          <w:b/>
          <w:bCs/>
          <w:iCs/>
          <w:color w:val="000000"/>
          <w:sz w:val="24"/>
          <w:szCs w:val="24"/>
        </w:rPr>
      </w:pPr>
      <w:r w:rsidRPr="00250C7F">
        <w:rPr>
          <w:rFonts w:ascii="Times New Roman" w:eastAsia="Calibri" w:hAnsi="Times New Roman" w:cs="Times New Roman"/>
          <w:b/>
          <w:bCs/>
          <w:iCs/>
          <w:color w:val="000000"/>
          <w:sz w:val="24"/>
          <w:szCs w:val="24"/>
        </w:rPr>
        <w:t>Recursul declarat în cauză</w:t>
      </w:r>
    </w:p>
    <w:p w14:paraId="6C10BE0F" w14:textId="42ADFD7A" w:rsidR="00ED11C0" w:rsidRPr="00250C7F" w:rsidRDefault="003D13CB" w:rsidP="00ED11C0">
      <w:pPr>
        <w:widowControl w:val="0"/>
        <w:autoSpaceDE w:val="0"/>
        <w:autoSpaceDN w:val="0"/>
        <w:adjustRightInd w:val="0"/>
        <w:spacing w:after="0" w:line="276" w:lineRule="auto"/>
        <w:ind w:firstLine="720"/>
        <w:jc w:val="both"/>
        <w:rPr>
          <w:rFonts w:ascii="Times New Roman" w:eastAsia="Calibri" w:hAnsi="Times New Roman" w:cs="Times New Roman"/>
          <w:bCs/>
          <w:iCs/>
          <w:color w:val="000000"/>
          <w:sz w:val="24"/>
          <w:szCs w:val="24"/>
        </w:rPr>
      </w:pPr>
      <w:r w:rsidRPr="00250C7F">
        <w:rPr>
          <w:rFonts w:ascii="Times New Roman" w:eastAsia="Calibri" w:hAnsi="Times New Roman" w:cs="Times New Roman"/>
          <w:iCs/>
          <w:color w:val="000000"/>
          <w:sz w:val="24"/>
          <w:szCs w:val="24"/>
        </w:rPr>
        <w:t xml:space="preserve">Împotriva </w:t>
      </w:r>
      <w:r w:rsidR="00ED11C0" w:rsidRPr="00250C7F">
        <w:rPr>
          <w:rFonts w:ascii="Times New Roman" w:eastAsia="Calibri" w:hAnsi="Times New Roman" w:cs="Times New Roman"/>
          <w:iCs/>
          <w:color w:val="000000"/>
          <w:sz w:val="24"/>
          <w:szCs w:val="24"/>
        </w:rPr>
        <w:t>deciziei</w:t>
      </w:r>
      <w:r w:rsidR="00ED11C0" w:rsidRPr="00250C7F">
        <w:rPr>
          <w:rFonts w:ascii="Times New Roman" w:eastAsia="Calibri" w:hAnsi="Times New Roman" w:cs="Times New Roman"/>
          <w:bCs/>
          <w:iCs/>
          <w:color w:val="000000"/>
          <w:sz w:val="24"/>
          <w:szCs w:val="24"/>
        </w:rPr>
        <w:t xml:space="preserve"> pronunțate de instanța de apel, a declarat recurs pârâtul Penitenciarul Bucureşti Rahova.</w:t>
      </w:r>
    </w:p>
    <w:p w14:paraId="59583BE9"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250C7F">
        <w:rPr>
          <w:rFonts w:ascii="Times New Roman" w:eastAsia="Calibri" w:hAnsi="Times New Roman" w:cs="Times New Roman"/>
          <w:iCs/>
          <w:color w:val="000000"/>
          <w:sz w:val="24"/>
          <w:szCs w:val="24"/>
        </w:rPr>
        <w:t>Recurentul-pârât a invocat motivul de casare prevăzut de</w:t>
      </w:r>
      <w:r w:rsidRPr="00250C7F">
        <w:rPr>
          <w:rFonts w:ascii="Times New Roman" w:eastAsia="Calibri" w:hAnsi="Times New Roman" w:cs="Times New Roman"/>
          <w:color w:val="000000"/>
          <w:sz w:val="24"/>
          <w:szCs w:val="24"/>
        </w:rPr>
        <w:t xml:space="preserve"> art. 488 alin. (1) pct. 8 din Codul de procedură civilă și a solicitat admiterea recursului, casarea hotărârii atacate, cu consecința  respingerea pretenţiilor reclamantului ca neîntemeiate.</w:t>
      </w:r>
    </w:p>
    <w:p w14:paraId="28FF3A3B"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criticat pârâtul decizia instanței de apel, în esență, sub următoarele aspecte:</w:t>
      </w:r>
    </w:p>
    <w:p w14:paraId="6269A214"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Instanța de apel a aplicat în mod eronat dispoziţiile art. 8 din C.E.D.O., reţinând că fapta de a nu acorda permisiunea reclamantului de a merge la înmormântarea părinţilor săi decedaţi constituie o ingerinţă în dreptul său la viaţa privată.</w:t>
      </w:r>
    </w:p>
    <w:p w14:paraId="097BBF66"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În mod greşit, atât prima instanţă, cât şi instanţa de apel au reţinut ideea că nu a fost dovedit faptul că ingerinţa în drepturile persoanei condamnate era necesară într-o societate democratică, raportat la prevederile art. 8 din C.E.D.O. şi Regulamentului de aplicare a Legii nr. 254/2013.</w:t>
      </w:r>
    </w:p>
    <w:p w14:paraId="6B6A4F45" w14:textId="77777777" w:rsidR="00ED11C0" w:rsidRPr="00250C7F" w:rsidRDefault="00ED11C0" w:rsidP="00ED11C0">
      <w:pPr>
        <w:widowControl w:val="0"/>
        <w:shd w:val="clear" w:color="auto" w:fill="FFFFFF"/>
        <w:autoSpaceDE w:val="0"/>
        <w:autoSpaceDN w:val="0"/>
        <w:adjustRightInd w:val="0"/>
        <w:spacing w:after="0" w:line="276" w:lineRule="auto"/>
        <w:ind w:right="19" w:firstLine="720"/>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 xml:space="preserve">Recurentul a apreciat că, din perspectiva marjei de apreciere a autorităţii naţionale la care face referire C.E.D.O. în Hotărârea Kanalas, respingerea cererii reclamantului de a ieşi din penitenciar pentru a participa la înmormântarea părinţilor săi constituie o ingerinţă prevăzută de lege, are un scop legitim în sensul art. 8 alin. (2) din Convenţie şi poate să fie considerată o măsură necesară într-o societate democratică pentru asigurarea ordinii și siguranței publice și </w:t>
      </w:r>
      <w:r w:rsidRPr="00250C7F">
        <w:rPr>
          <w:rFonts w:ascii="Times New Roman" w:eastAsia="Calibri" w:hAnsi="Times New Roman" w:cs="Times New Roman"/>
          <w:color w:val="000000"/>
          <w:sz w:val="24"/>
          <w:szCs w:val="24"/>
        </w:rPr>
        <w:lastRenderedPageBreak/>
        <w:t>prevenirea faptelor penale având în vedere situația particulară a reclamantului (</w:t>
      </w:r>
      <w:r w:rsidRPr="00250C7F">
        <w:rPr>
          <w:rFonts w:ascii="Times New Roman" w:eastAsia="Calibri" w:hAnsi="Times New Roman" w:cs="Times New Roman"/>
          <w:color w:val="000000"/>
          <w:spacing w:val="-8"/>
          <w:sz w:val="24"/>
          <w:szCs w:val="24"/>
        </w:rPr>
        <w:t xml:space="preserve">condamnat în primă instanţă la o pedeapsă de 5 ani şi 7 luni închisoare pentru constituirea unui grup infracţional organizat, </w:t>
      </w:r>
      <w:r w:rsidRPr="00250C7F">
        <w:rPr>
          <w:rFonts w:ascii="Times New Roman" w:eastAsia="Calibri" w:hAnsi="Times New Roman" w:cs="Times New Roman"/>
          <w:color w:val="000000"/>
          <w:spacing w:val="-6"/>
          <w:sz w:val="24"/>
          <w:szCs w:val="24"/>
        </w:rPr>
        <w:t xml:space="preserve">neavând regimul de executare al pedepsei stabilit; figura cu mandatul </w:t>
      </w:r>
      <w:r w:rsidRPr="00250C7F">
        <w:rPr>
          <w:rFonts w:ascii="Times New Roman" w:eastAsia="Calibri" w:hAnsi="Times New Roman" w:cs="Times New Roman"/>
          <w:color w:val="000000"/>
          <w:spacing w:val="-8"/>
          <w:sz w:val="24"/>
          <w:szCs w:val="24"/>
        </w:rPr>
        <w:t xml:space="preserve">european de arestare nr. 56 EAW emis la data de 07.12.2015 de către Curtea de Apel </w:t>
      </w:r>
      <w:r w:rsidRPr="00250C7F">
        <w:rPr>
          <w:rFonts w:ascii="Times New Roman" w:eastAsia="Calibri" w:hAnsi="Times New Roman" w:cs="Times New Roman"/>
          <w:color w:val="000000"/>
          <w:spacing w:val="-6"/>
          <w:sz w:val="24"/>
          <w:szCs w:val="24"/>
        </w:rPr>
        <w:t>Bucureşti - Secţia a II-a Penală pentru infracţiunea prevăzută de Legea nr. 302/2004</w:t>
      </w:r>
      <w:r w:rsidRPr="00250C7F">
        <w:rPr>
          <w:rFonts w:ascii="Times New Roman" w:eastAsia="Calibri" w:hAnsi="Times New Roman" w:cs="Times New Roman"/>
          <w:color w:val="000000"/>
          <w:spacing w:val="-9"/>
          <w:sz w:val="24"/>
          <w:szCs w:val="24"/>
        </w:rPr>
        <w:t>)</w:t>
      </w:r>
      <w:r w:rsidRPr="00250C7F">
        <w:rPr>
          <w:rFonts w:ascii="Times New Roman" w:eastAsia="Calibri" w:hAnsi="Times New Roman" w:cs="Times New Roman"/>
          <w:color w:val="000000"/>
          <w:sz w:val="24"/>
          <w:szCs w:val="24"/>
        </w:rPr>
        <w:t>.</w:t>
      </w:r>
    </w:p>
    <w:p w14:paraId="686FF224" w14:textId="77777777" w:rsidR="00ED11C0" w:rsidRPr="00250C7F" w:rsidRDefault="00ED11C0" w:rsidP="00ED11C0">
      <w:pPr>
        <w:widowControl w:val="0"/>
        <w:autoSpaceDE w:val="0"/>
        <w:autoSpaceDN w:val="0"/>
        <w:adjustRightInd w:val="0"/>
        <w:spacing w:after="0" w:line="276" w:lineRule="auto"/>
        <w:ind w:firstLine="662"/>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Potrivit Regulamentului de aplicare a Legii nr. 254/2013 privind executarea pedepselor şi a măsurilor privative de libertate dispuse de organele judiciare în cursul procesului penal, adoptat prin H.G. nr. 157/2016, ieşirea din penitenciar, fără a se distinge după scopul ieşirii, reprezintă o recompensă, iar o recompensă nu poate fi acordată dacă deţinutul nu prezintă suficientă încredere că nu mai comite alte infracţiuni - art. 213 alin. (2) lit. a).</w:t>
      </w:r>
    </w:p>
    <w:p w14:paraId="29A93475" w14:textId="77777777" w:rsidR="00ED11C0" w:rsidRPr="00250C7F" w:rsidRDefault="00ED11C0" w:rsidP="00ED11C0">
      <w:pPr>
        <w:widowControl w:val="0"/>
        <w:autoSpaceDE w:val="0"/>
        <w:autoSpaceDN w:val="0"/>
        <w:adjustRightInd w:val="0"/>
        <w:spacing w:after="0" w:line="276" w:lineRule="auto"/>
        <w:ind w:firstLine="662"/>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Prin urmare, arată recurentul, nu se poate reţine în cauză existenţa unei fapte ilicite în sarcina acestei comisii, conform art. 1357 din Codul civil, din moment ce reclamantul se bucură, în baza legii, doar de o vocaţie la recompensare, iar nu de un drept care să impună comisiei constituite o obligaţie şi care să determine un prejudiciu.</w:t>
      </w:r>
    </w:p>
    <w:p w14:paraId="5B4E3D20" w14:textId="77777777" w:rsidR="00ED11C0" w:rsidRPr="00250C7F" w:rsidRDefault="00ED11C0" w:rsidP="00ED11C0">
      <w:pPr>
        <w:widowControl w:val="0"/>
        <w:autoSpaceDE w:val="0"/>
        <w:autoSpaceDN w:val="0"/>
        <w:adjustRightInd w:val="0"/>
        <w:spacing w:after="0" w:line="276" w:lineRule="auto"/>
        <w:ind w:firstLine="662"/>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Astfel, respingerea cererii de recompensare nu poate constitui o faptă ilicită, din moment ce legea a dat în competenţa unei anume comisii dreptul de a face aprecieri asupra condiţiilor reale şi personale în care permisiunea de ieşire din penitenciar se poate acorda, iar nu instanţei civile, care nu se poate substitui organelor învestite de lege cu soluţionarea cererilor de recompensare şi să facă propria apreciere sub aspectul legalităţii şi oportunităţii.</w:t>
      </w:r>
    </w:p>
    <w:p w14:paraId="638BDF8C" w14:textId="77777777" w:rsidR="00ED11C0" w:rsidRPr="00250C7F" w:rsidRDefault="00ED11C0" w:rsidP="00ED11C0">
      <w:pPr>
        <w:widowControl w:val="0"/>
        <w:autoSpaceDE w:val="0"/>
        <w:autoSpaceDN w:val="0"/>
        <w:adjustRightInd w:val="0"/>
        <w:spacing w:after="0" w:line="276" w:lineRule="auto"/>
        <w:ind w:firstLine="662"/>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Din momentul în care a fost încarcerat, condamnatul trebuia să realizeze în ce constă privarea de libertate, respectiv faptul că nu va putea participa la evenimentele familiale care urmau să aibă loc până la liberarea din penitenciar, cu atât mai mult cu cât pe numele acestuia figura emis şi un mandat european de arestare. Faptul că şi-a imaginat că va putea participa la înmormântarea părinţilor săi, fără să îndeplinească condiţiile impuse de lege pentru acordarea recompensei permisiunii ieşirii din penitenciar, nu poate conduce la concluzia că pârâtul poate fi obligat la plata unor daune morale.</w:t>
      </w:r>
    </w:p>
    <w:p w14:paraId="080BDF6B" w14:textId="77777777" w:rsidR="00ED11C0" w:rsidRPr="00250C7F" w:rsidRDefault="00ED11C0" w:rsidP="00ED11C0">
      <w:pPr>
        <w:widowControl w:val="0"/>
        <w:shd w:val="clear" w:color="auto" w:fill="FFFFFF"/>
        <w:autoSpaceDE w:val="0"/>
        <w:autoSpaceDN w:val="0"/>
        <w:adjustRightInd w:val="0"/>
        <w:spacing w:before="19" w:after="0" w:line="276" w:lineRule="auto"/>
        <w:ind w:firstLine="672"/>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pacing w:val="-8"/>
          <w:sz w:val="24"/>
          <w:szCs w:val="24"/>
        </w:rPr>
        <w:t xml:space="preserve">Câtă vreme permisiunea de ieşire din penitenciar apare ca o vocaţie a persoanei private de libertate și nu ca un drept, având în vedere situaţia specială în care s-a găsit reclamantul, respectiv în executarea unei pedepse privative de libertate, este de </w:t>
      </w:r>
      <w:r w:rsidRPr="00250C7F">
        <w:rPr>
          <w:rFonts w:ascii="Times New Roman" w:eastAsia="Calibri" w:hAnsi="Times New Roman" w:cs="Times New Roman"/>
          <w:color w:val="000000"/>
          <w:spacing w:val="-6"/>
          <w:sz w:val="24"/>
          <w:szCs w:val="24"/>
        </w:rPr>
        <w:t xml:space="preserve">înţeles că legăturile acestuia cu familia sunt restricţionate şi se supun unor reguli stricte, </w:t>
      </w:r>
      <w:r w:rsidRPr="00250C7F">
        <w:rPr>
          <w:rFonts w:ascii="Times New Roman" w:eastAsia="Calibri" w:hAnsi="Times New Roman" w:cs="Times New Roman"/>
          <w:color w:val="000000"/>
          <w:spacing w:val="-7"/>
          <w:sz w:val="24"/>
          <w:szCs w:val="24"/>
        </w:rPr>
        <w:t xml:space="preserve">fiind necesară parcurgerea unor proceduri prevăzute de legislaţia în vigoare, astfel că nu </w:t>
      </w:r>
      <w:r w:rsidRPr="00250C7F">
        <w:rPr>
          <w:rFonts w:ascii="Times New Roman" w:eastAsia="Calibri" w:hAnsi="Times New Roman" w:cs="Times New Roman"/>
          <w:color w:val="000000"/>
          <w:spacing w:val="-6"/>
          <w:sz w:val="24"/>
          <w:szCs w:val="24"/>
        </w:rPr>
        <w:t xml:space="preserve">se poate aprecia că i-a fost încălcat dreptul la viaţă privată prevăzut de dispoziţiile art. 8 din C.E.D.O., cu atât mai mult cu cât acesta a putut beneficia de vizite, </w:t>
      </w:r>
      <w:r w:rsidRPr="00250C7F">
        <w:rPr>
          <w:rFonts w:ascii="Times New Roman" w:eastAsia="Calibri" w:hAnsi="Times New Roman" w:cs="Times New Roman"/>
          <w:color w:val="000000"/>
          <w:sz w:val="24"/>
          <w:szCs w:val="24"/>
        </w:rPr>
        <w:t>convorbiri telefonice, dreptul la petiţionare, etc.</w:t>
      </w:r>
    </w:p>
    <w:p w14:paraId="4A86D261" w14:textId="77777777" w:rsidR="00ED11C0" w:rsidRPr="00250C7F" w:rsidRDefault="00ED11C0" w:rsidP="00ED11C0">
      <w:pPr>
        <w:widowControl w:val="0"/>
        <w:autoSpaceDE w:val="0"/>
        <w:autoSpaceDN w:val="0"/>
        <w:adjustRightInd w:val="0"/>
        <w:spacing w:after="0" w:line="276" w:lineRule="auto"/>
        <w:ind w:firstLine="662"/>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Prin urmare, în opinia recurentului-pârât, nu sunt întrunite condiţiile răspunderii civile delictuale şi nu se poate reţine în sarcina comisiei săvârşirea unei fapte ilicite, conform art. 1357 din Codul civil, din moment ce reclamantul se bucură, în baza legii, doar de o vocaţie la recompensare, iar nu de un drept care să impună comisiei constituite o obligaţie şi care să determine un prejudiciu.</w:t>
      </w:r>
    </w:p>
    <w:p w14:paraId="3141AA28" w14:textId="77777777" w:rsidR="00ED11C0" w:rsidRPr="00250C7F" w:rsidRDefault="00ED11C0" w:rsidP="00ED11C0">
      <w:pPr>
        <w:widowControl w:val="0"/>
        <w:shd w:val="clear" w:color="auto" w:fill="FFFFFF"/>
        <w:autoSpaceDE w:val="0"/>
        <w:autoSpaceDN w:val="0"/>
        <w:adjustRightInd w:val="0"/>
        <w:spacing w:before="19" w:after="0" w:line="276" w:lineRule="auto"/>
        <w:ind w:left="19" w:firstLine="643"/>
        <w:jc w:val="both"/>
        <w:rPr>
          <w:rFonts w:ascii="Times New Roman" w:eastAsia="Calibri" w:hAnsi="Times New Roman" w:cs="Times New Roman"/>
          <w:sz w:val="24"/>
          <w:szCs w:val="24"/>
        </w:rPr>
      </w:pPr>
      <w:r w:rsidRPr="00250C7F">
        <w:rPr>
          <w:rFonts w:ascii="Times New Roman" w:eastAsia="Calibri" w:hAnsi="Times New Roman" w:cs="Times New Roman"/>
          <w:spacing w:val="-4"/>
          <w:sz w:val="24"/>
          <w:szCs w:val="24"/>
        </w:rPr>
        <w:t xml:space="preserve">Deși prima instanţă a considerat că prejudiciul moral pe care l-a suferit </w:t>
      </w:r>
      <w:r w:rsidRPr="00250C7F">
        <w:rPr>
          <w:rFonts w:ascii="Times New Roman" w:eastAsia="Calibri" w:hAnsi="Times New Roman" w:cs="Times New Roman"/>
          <w:sz w:val="24"/>
          <w:szCs w:val="24"/>
        </w:rPr>
        <w:t>reclamantul poate fi acoperit cu suma de 10.000 lei, recurentul a considerat că r</w:t>
      </w:r>
      <w:r w:rsidRPr="00250C7F">
        <w:rPr>
          <w:rFonts w:ascii="Times New Roman" w:eastAsia="Calibri" w:hAnsi="Times New Roman" w:cs="Times New Roman"/>
          <w:spacing w:val="-7"/>
          <w:sz w:val="24"/>
          <w:szCs w:val="24"/>
        </w:rPr>
        <w:t xml:space="preserve">eclamantul nu a făcut dovada </w:t>
      </w:r>
      <w:r w:rsidRPr="00250C7F">
        <w:rPr>
          <w:rFonts w:ascii="Times New Roman" w:eastAsia="Calibri" w:hAnsi="Times New Roman" w:cs="Times New Roman"/>
          <w:spacing w:val="-6"/>
          <w:sz w:val="24"/>
          <w:szCs w:val="24"/>
        </w:rPr>
        <w:t xml:space="preserve">existenţei prejudiciului şi  a legăturii de cauzalitate între fapta pretins săvârşită şi </w:t>
      </w:r>
      <w:r w:rsidRPr="00250C7F">
        <w:rPr>
          <w:rFonts w:ascii="Times New Roman" w:eastAsia="Calibri" w:hAnsi="Times New Roman" w:cs="Times New Roman"/>
          <w:sz w:val="24"/>
          <w:szCs w:val="24"/>
        </w:rPr>
        <w:t>prejudiciu.</w:t>
      </w:r>
    </w:p>
    <w:p w14:paraId="3F298EFB" w14:textId="77777777" w:rsidR="00ED11C0" w:rsidRPr="00250C7F" w:rsidRDefault="00ED11C0" w:rsidP="00ED11C0">
      <w:pPr>
        <w:widowControl w:val="0"/>
        <w:shd w:val="clear" w:color="auto" w:fill="FFFFFF"/>
        <w:autoSpaceDE w:val="0"/>
        <w:autoSpaceDN w:val="0"/>
        <w:adjustRightInd w:val="0"/>
        <w:spacing w:before="29" w:after="0" w:line="276" w:lineRule="auto"/>
        <w:ind w:right="10" w:firstLine="653"/>
        <w:jc w:val="both"/>
        <w:rPr>
          <w:rFonts w:ascii="Times New Roman" w:eastAsia="Calibri" w:hAnsi="Times New Roman" w:cs="Times New Roman"/>
          <w:sz w:val="24"/>
          <w:szCs w:val="24"/>
        </w:rPr>
      </w:pPr>
      <w:r w:rsidRPr="00250C7F">
        <w:rPr>
          <w:rFonts w:ascii="Times New Roman" w:eastAsia="Calibri" w:hAnsi="Times New Roman" w:cs="Times New Roman"/>
          <w:spacing w:val="-7"/>
          <w:sz w:val="24"/>
          <w:szCs w:val="24"/>
        </w:rPr>
        <w:t xml:space="preserve">Daunele morale sunt acele consecinţe de natură nepatrimonială cauzate unei persoane prin săvârşirea unor fapte ilicite culpabile, constând în atingerile aduse </w:t>
      </w:r>
      <w:r w:rsidRPr="00250C7F">
        <w:rPr>
          <w:rFonts w:ascii="Times New Roman" w:eastAsia="Calibri" w:hAnsi="Times New Roman" w:cs="Times New Roman"/>
          <w:sz w:val="24"/>
          <w:szCs w:val="24"/>
        </w:rPr>
        <w:t xml:space="preserve">personalităţii sale fizice, psihice şi sociale, prin lezarea unui drept sau interes </w:t>
      </w:r>
      <w:r w:rsidRPr="00250C7F">
        <w:rPr>
          <w:rFonts w:ascii="Times New Roman" w:eastAsia="Calibri" w:hAnsi="Times New Roman" w:cs="Times New Roman"/>
          <w:spacing w:val="-7"/>
          <w:sz w:val="24"/>
          <w:szCs w:val="24"/>
        </w:rPr>
        <w:t xml:space="preserve">nepatrimonial, a căror reparare urmează regulile răspunderii </w:t>
      </w:r>
      <w:r w:rsidRPr="00250C7F">
        <w:rPr>
          <w:rFonts w:ascii="Times New Roman" w:eastAsia="Calibri" w:hAnsi="Times New Roman" w:cs="Times New Roman"/>
          <w:spacing w:val="-7"/>
          <w:sz w:val="24"/>
          <w:szCs w:val="24"/>
        </w:rPr>
        <w:lastRenderedPageBreak/>
        <w:t xml:space="preserve">civile delictuale, dacă fapta </w:t>
      </w:r>
      <w:r w:rsidRPr="00250C7F">
        <w:rPr>
          <w:rFonts w:ascii="Times New Roman" w:eastAsia="Calibri" w:hAnsi="Times New Roman" w:cs="Times New Roman"/>
          <w:sz w:val="24"/>
          <w:szCs w:val="24"/>
        </w:rPr>
        <w:t>ilicită s-a produs în afara unui cadru legal.</w:t>
      </w:r>
    </w:p>
    <w:p w14:paraId="385F13D8" w14:textId="77777777" w:rsidR="00ED11C0" w:rsidRPr="00250C7F" w:rsidRDefault="00ED11C0" w:rsidP="00ED11C0">
      <w:pPr>
        <w:widowControl w:val="0"/>
        <w:shd w:val="clear" w:color="auto" w:fill="FFFFFF"/>
        <w:autoSpaceDE w:val="0"/>
        <w:autoSpaceDN w:val="0"/>
        <w:adjustRightInd w:val="0"/>
        <w:spacing w:before="19" w:after="0" w:line="276" w:lineRule="auto"/>
        <w:ind w:left="10" w:right="10" w:firstLine="662"/>
        <w:jc w:val="both"/>
        <w:rPr>
          <w:rFonts w:ascii="Times New Roman" w:eastAsia="Calibri" w:hAnsi="Times New Roman" w:cs="Times New Roman"/>
          <w:color w:val="000000"/>
          <w:sz w:val="24"/>
          <w:szCs w:val="24"/>
        </w:rPr>
      </w:pPr>
      <w:r w:rsidRPr="00250C7F">
        <w:rPr>
          <w:rFonts w:ascii="Times New Roman" w:eastAsia="Calibri" w:hAnsi="Times New Roman" w:cs="Times New Roman"/>
          <w:spacing w:val="-6"/>
          <w:sz w:val="24"/>
          <w:szCs w:val="24"/>
        </w:rPr>
        <w:t xml:space="preserve">Prejudiciul, condiţie esenţială a răspunderii civile delictuale, reprezintă rezultatul negativ al încălcării ilicite a unui drept subiectiv sau, în anumite condiţii, a unor simple </w:t>
      </w:r>
      <w:r w:rsidRPr="00250C7F">
        <w:rPr>
          <w:rFonts w:ascii="Times New Roman" w:eastAsia="Calibri" w:hAnsi="Times New Roman" w:cs="Times New Roman"/>
          <w:sz w:val="24"/>
          <w:szCs w:val="24"/>
        </w:rPr>
        <w:t>interese.</w:t>
      </w:r>
    </w:p>
    <w:p w14:paraId="32890516" w14:textId="77777777" w:rsidR="00ED11C0" w:rsidRPr="00250C7F" w:rsidRDefault="00ED11C0" w:rsidP="00ED11C0">
      <w:pPr>
        <w:widowControl w:val="0"/>
        <w:autoSpaceDE w:val="0"/>
        <w:autoSpaceDN w:val="0"/>
        <w:adjustRightInd w:val="0"/>
        <w:spacing w:after="0" w:line="276" w:lineRule="auto"/>
        <w:ind w:firstLine="662"/>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În concluzie, recurentul a considerat că în niciun caz nu se poate aprecia că eventualul prejudiciu moral pe care l-a suferit reclamantul se datorează unei fapte ilicite a pârâtului Penitenciarului Bucureşti Rahova, care a respectat dispoziţiile legale incidente în cauză.</w:t>
      </w:r>
    </w:p>
    <w:p w14:paraId="4D94D8A2" w14:textId="6D0E1207" w:rsidR="00ED11C0" w:rsidRPr="00250C7F" w:rsidRDefault="00ED11C0" w:rsidP="00ED11C0">
      <w:pPr>
        <w:widowControl w:val="0"/>
        <w:autoSpaceDE w:val="0"/>
        <w:autoSpaceDN w:val="0"/>
        <w:adjustRightInd w:val="0"/>
        <w:spacing w:after="0" w:line="276" w:lineRule="auto"/>
        <w:ind w:left="720"/>
        <w:jc w:val="both"/>
        <w:rPr>
          <w:rFonts w:ascii="Times New Roman" w:eastAsia="Calibri" w:hAnsi="Times New Roman" w:cs="Times New Roman"/>
          <w:b/>
          <w:color w:val="000000"/>
          <w:sz w:val="24"/>
          <w:szCs w:val="24"/>
        </w:rPr>
      </w:pPr>
      <w:r w:rsidRPr="00250C7F">
        <w:rPr>
          <w:rFonts w:ascii="Times New Roman" w:eastAsia="Calibri" w:hAnsi="Times New Roman" w:cs="Times New Roman"/>
          <w:b/>
          <w:color w:val="000000"/>
          <w:sz w:val="24"/>
          <w:szCs w:val="24"/>
        </w:rPr>
        <w:t xml:space="preserve"> 4. Apărările formulate în cauză </w:t>
      </w:r>
    </w:p>
    <w:p w14:paraId="6247AF2B" w14:textId="77777777" w:rsidR="00ED11C0" w:rsidRPr="00250C7F" w:rsidRDefault="00ED11C0" w:rsidP="00ED11C0">
      <w:pPr>
        <w:widowControl w:val="0"/>
        <w:shd w:val="clear" w:color="auto" w:fill="FFFFFF"/>
        <w:autoSpaceDE w:val="0"/>
        <w:autoSpaceDN w:val="0"/>
        <w:adjustRightInd w:val="0"/>
        <w:spacing w:after="0" w:line="276" w:lineRule="auto"/>
        <w:ind w:left="19" w:firstLine="720"/>
        <w:jc w:val="both"/>
        <w:rPr>
          <w:rFonts w:ascii="Times New Roman" w:eastAsia="Calibri" w:hAnsi="Times New Roman" w:cs="Times New Roman"/>
          <w:sz w:val="24"/>
          <w:szCs w:val="24"/>
        </w:rPr>
      </w:pPr>
      <w:r w:rsidRPr="00250C7F">
        <w:rPr>
          <w:rFonts w:ascii="Times New Roman" w:eastAsia="Calibri" w:hAnsi="Times New Roman" w:cs="Times New Roman"/>
          <w:iCs/>
          <w:color w:val="000000"/>
          <w:sz w:val="24"/>
          <w:szCs w:val="24"/>
        </w:rPr>
        <w:t>Intimata-pârâtă Administrația Națională a Penitenciarelor</w:t>
      </w:r>
      <w:r w:rsidRPr="00250C7F">
        <w:rPr>
          <w:rFonts w:ascii="Times New Roman" w:eastAsia="Calibri" w:hAnsi="Times New Roman" w:cs="Times New Roman"/>
          <w:i/>
          <w:color w:val="000000"/>
          <w:sz w:val="24"/>
          <w:szCs w:val="24"/>
        </w:rPr>
        <w:t xml:space="preserve"> </w:t>
      </w:r>
      <w:r w:rsidRPr="00250C7F">
        <w:rPr>
          <w:rFonts w:ascii="Times New Roman" w:eastAsia="Calibri" w:hAnsi="Times New Roman" w:cs="Times New Roman"/>
          <w:color w:val="000000"/>
          <w:sz w:val="24"/>
          <w:szCs w:val="24"/>
        </w:rPr>
        <w:t xml:space="preserve">a depus întâmpinare, prin care a solicitat admiterea </w:t>
      </w:r>
      <w:r w:rsidRPr="00250C7F">
        <w:rPr>
          <w:rFonts w:ascii="Times New Roman" w:eastAsia="Calibri" w:hAnsi="Times New Roman" w:cs="Times New Roman"/>
          <w:sz w:val="24"/>
          <w:szCs w:val="24"/>
        </w:rPr>
        <w:t>cererii de recurs, astfel cum a fost formulată, casarea în parte a hotărârii atacate, cu consecința respigerii cererii reclamantului A.</w:t>
      </w:r>
    </w:p>
    <w:p w14:paraId="7317E92C" w14:textId="77777777" w:rsidR="00ED11C0" w:rsidRPr="00250C7F" w:rsidRDefault="00ED11C0" w:rsidP="00ED11C0">
      <w:pPr>
        <w:widowControl w:val="0"/>
        <w:shd w:val="clear" w:color="auto" w:fill="FFFFFF"/>
        <w:autoSpaceDE w:val="0"/>
        <w:autoSpaceDN w:val="0"/>
        <w:adjustRightInd w:val="0"/>
        <w:spacing w:after="0" w:line="276" w:lineRule="auto"/>
        <w:ind w:right="-2"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Poziția procesuală a intimatei-pârâte a fost în sensul achiesării în totalitate la cererea de recurs formulată în cauză, pentru argumentele ce se vor expune în continuare.</w:t>
      </w:r>
    </w:p>
    <w:p w14:paraId="7759340B" w14:textId="77777777" w:rsidR="00ED11C0" w:rsidRPr="00250C7F" w:rsidRDefault="00ED11C0" w:rsidP="00ED11C0">
      <w:pPr>
        <w:widowControl w:val="0"/>
        <w:shd w:val="clear" w:color="auto" w:fill="FFFFFF"/>
        <w:autoSpaceDE w:val="0"/>
        <w:autoSpaceDN w:val="0"/>
        <w:adjustRightInd w:val="0"/>
        <w:spacing w:after="0" w:line="276" w:lineRule="auto"/>
        <w:ind w:right="-2"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Instanţele de fond au aplicat în mod greşit dispoziţiile legale privind acordarea dreptului de a ieşi din penitenciar, fiind incidente dispoziţiile art. 488 alin. (1) pct. 8 din Codul de procedură civilă.</w:t>
      </w:r>
    </w:p>
    <w:p w14:paraId="342E7BF7" w14:textId="77777777" w:rsidR="00ED11C0" w:rsidRPr="00250C7F" w:rsidRDefault="00ED11C0" w:rsidP="00ED11C0">
      <w:pPr>
        <w:widowControl w:val="0"/>
        <w:shd w:val="clear" w:color="auto" w:fill="FFFFFF"/>
        <w:autoSpaceDE w:val="0"/>
        <w:autoSpaceDN w:val="0"/>
        <w:adjustRightInd w:val="0"/>
        <w:spacing w:after="0" w:line="276" w:lineRule="auto"/>
        <w:ind w:right="-2"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Recompensele, printre care şi cea prevăzută de art. 99 alin. (1) lit. e) din Legea nr. 254/2013</w:t>
      </w:r>
      <w:r w:rsidRPr="00250C7F">
        <w:rPr>
          <w:rFonts w:ascii="Times New Roman" w:eastAsia="Calibri" w:hAnsi="Times New Roman" w:cs="Times New Roman"/>
          <w:iCs/>
          <w:sz w:val="24"/>
          <w:szCs w:val="24"/>
        </w:rPr>
        <w:t xml:space="preserve"> privind executarea pedepselor şi a măsurilor privative de libertate dispuse de organele judiciare în cursul procesului penal, </w:t>
      </w:r>
      <w:r w:rsidRPr="00250C7F">
        <w:rPr>
          <w:rFonts w:ascii="Times New Roman" w:eastAsia="Calibri" w:hAnsi="Times New Roman" w:cs="Times New Roman"/>
          <w:spacing w:val="-1"/>
          <w:sz w:val="24"/>
          <w:szCs w:val="24"/>
        </w:rPr>
        <w:t xml:space="preserve">se acordă deţinuţilor care au o bună conduită şi au dovedit stăruinţă în </w:t>
      </w:r>
      <w:r w:rsidRPr="00250C7F">
        <w:rPr>
          <w:rFonts w:ascii="Times New Roman" w:eastAsia="Calibri" w:hAnsi="Times New Roman" w:cs="Times New Roman"/>
          <w:sz w:val="24"/>
          <w:szCs w:val="24"/>
        </w:rPr>
        <w:t>muncă sau în cadrul activităţilor educative, culturale sau terapeutice, de consiliere psihologică şi asistenţă socială sau de instruire şcolară şi formare profesională, precum şi celor care au prevenit producerea unor situaţii de risc pentru siguranţa penitenciarului sau a personalului, pentru alţi deţinuţi, sau alte persoane, în condiţiile art. 98 şi 99 din același act normativ.</w:t>
      </w:r>
    </w:p>
    <w:p w14:paraId="765670D8" w14:textId="77777777" w:rsidR="00ED11C0" w:rsidRPr="00250C7F" w:rsidRDefault="00ED11C0" w:rsidP="00ED11C0">
      <w:pPr>
        <w:widowControl w:val="0"/>
        <w:shd w:val="clear" w:color="auto" w:fill="FFFFFF"/>
        <w:autoSpaceDE w:val="0"/>
        <w:autoSpaceDN w:val="0"/>
        <w:adjustRightInd w:val="0"/>
        <w:spacing w:after="0" w:line="276" w:lineRule="auto"/>
        <w:ind w:right="-2" w:firstLine="709"/>
        <w:jc w:val="both"/>
        <w:rPr>
          <w:rFonts w:ascii="Times New Roman" w:eastAsia="Calibri" w:hAnsi="Times New Roman" w:cs="Times New Roman"/>
          <w:iCs/>
          <w:sz w:val="24"/>
          <w:szCs w:val="24"/>
        </w:rPr>
      </w:pPr>
      <w:r w:rsidRPr="00250C7F">
        <w:rPr>
          <w:rFonts w:ascii="Times New Roman" w:eastAsia="Calibri" w:hAnsi="Times New Roman" w:cs="Times New Roman"/>
          <w:iCs/>
          <w:spacing w:val="-2"/>
          <w:sz w:val="24"/>
          <w:szCs w:val="24"/>
        </w:rPr>
        <w:t>La acordarea acestui tip de recompensă, respectiv permisiunea de ieşire din penitenciar, comisiile de</w:t>
      </w:r>
      <w:r w:rsidRPr="00250C7F">
        <w:rPr>
          <w:rFonts w:ascii="Times New Roman" w:eastAsia="Calibri" w:hAnsi="Times New Roman" w:cs="Times New Roman"/>
          <w:iCs/>
          <w:spacing w:val="-1"/>
          <w:sz w:val="24"/>
          <w:szCs w:val="24"/>
        </w:rPr>
        <w:t xml:space="preserve"> specialitate au în vedere unul dintre obiectivele principale ale sistemului penitenciar, parte i</w:t>
      </w:r>
      <w:r w:rsidRPr="00250C7F">
        <w:rPr>
          <w:rFonts w:ascii="Times New Roman" w:eastAsia="Calibri" w:hAnsi="Times New Roman" w:cs="Times New Roman"/>
          <w:iCs/>
          <w:spacing w:val="-2"/>
          <w:sz w:val="24"/>
          <w:szCs w:val="24"/>
        </w:rPr>
        <w:t xml:space="preserve">ntegrantă a sistemului de ordine publică şi siguranţă naţională a statului, conform art. 2 alin. (1) din </w:t>
      </w:r>
      <w:r w:rsidRPr="00250C7F">
        <w:rPr>
          <w:rFonts w:ascii="Times New Roman" w:eastAsia="Calibri" w:hAnsi="Times New Roman" w:cs="Times New Roman"/>
          <w:iCs/>
          <w:sz w:val="24"/>
          <w:szCs w:val="24"/>
        </w:rPr>
        <w:t xml:space="preserve">Legea nr. 145/2019 </w:t>
      </w:r>
      <w:r w:rsidRPr="00250C7F">
        <w:rPr>
          <w:rFonts w:ascii="Times New Roman" w:eastAsia="Calibri" w:hAnsi="Times New Roman" w:cs="Times New Roman"/>
          <w:sz w:val="24"/>
          <w:szCs w:val="24"/>
        </w:rPr>
        <w:t xml:space="preserve">privind statutul poliţiştilor de penitenciare, </w:t>
      </w:r>
      <w:r w:rsidRPr="00250C7F">
        <w:rPr>
          <w:rFonts w:ascii="Times New Roman" w:eastAsia="Calibri" w:hAnsi="Times New Roman" w:cs="Times New Roman"/>
          <w:iCs/>
          <w:sz w:val="24"/>
          <w:szCs w:val="24"/>
        </w:rPr>
        <w:t>cu modificările şi completările ulterioare, şi anume protejarea ordinii de drept a siguranţei cetăţenilor şi apărarea valorilor sociale.</w:t>
      </w:r>
    </w:p>
    <w:p w14:paraId="6D33FE8F" w14:textId="77777777" w:rsidR="00ED11C0" w:rsidRPr="00250C7F" w:rsidRDefault="00ED11C0" w:rsidP="00ED11C0">
      <w:pPr>
        <w:widowControl w:val="0"/>
        <w:shd w:val="clear" w:color="auto" w:fill="FFFFFF"/>
        <w:autoSpaceDE w:val="0"/>
        <w:autoSpaceDN w:val="0"/>
        <w:adjustRightInd w:val="0"/>
        <w:spacing w:after="0" w:line="276" w:lineRule="auto"/>
        <w:ind w:right="-2"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Intimata-pârâtă a expus pe larg contextul în care s-a propus modificarea art. 99 alin. (6) din Legea nr. 254/2013, în respectarea hotărârilor C.E.D.O. în cauzele Bragadireanu împotriva României și Kanalas împotriva României, prin care s-a constatat î</w:t>
      </w:r>
      <w:r w:rsidRPr="00250C7F">
        <w:rPr>
          <w:rFonts w:ascii="Times New Roman" w:eastAsia="Calibri" w:hAnsi="Times New Roman" w:cs="Times New Roman"/>
          <w:spacing w:val="-1"/>
          <w:sz w:val="24"/>
          <w:szCs w:val="24"/>
        </w:rPr>
        <w:t xml:space="preserve">ncălcarea de către statul român a dispoziţiilor art. 3 și art. 8 din Convenţia pentru apărarea </w:t>
      </w:r>
      <w:r w:rsidRPr="00250C7F">
        <w:rPr>
          <w:rFonts w:ascii="Times New Roman" w:eastAsia="Calibri" w:hAnsi="Times New Roman" w:cs="Times New Roman"/>
          <w:sz w:val="24"/>
          <w:szCs w:val="24"/>
        </w:rPr>
        <w:t>drepturilor omului şi a libertăţilor fundamentale</w:t>
      </w:r>
      <w:r w:rsidRPr="00250C7F">
        <w:rPr>
          <w:rFonts w:ascii="Times New Roman" w:eastAsia="Calibri" w:hAnsi="Times New Roman" w:cs="Times New Roman"/>
          <w:spacing w:val="-1"/>
          <w:sz w:val="24"/>
          <w:szCs w:val="24"/>
        </w:rPr>
        <w:t xml:space="preserve"> </w:t>
      </w:r>
      <w:r w:rsidRPr="00250C7F">
        <w:rPr>
          <w:rFonts w:ascii="Times New Roman" w:eastAsia="Calibri" w:hAnsi="Times New Roman" w:cs="Times New Roman"/>
          <w:sz w:val="24"/>
          <w:szCs w:val="24"/>
        </w:rPr>
        <w:t>sub aspectul neacordării unui tratament stomatologic adecvat şi neacordării posibilităţii a părăsi locul de deţinere pentru a participa a funeraliile unei rude apropiate.</w:t>
      </w:r>
    </w:p>
    <w:p w14:paraId="7EB9A9F5" w14:textId="77777777" w:rsidR="00ED11C0" w:rsidRPr="00250C7F" w:rsidRDefault="00ED11C0" w:rsidP="00ED11C0">
      <w:pPr>
        <w:widowControl w:val="0"/>
        <w:shd w:val="clear" w:color="auto" w:fill="FFFFFF"/>
        <w:autoSpaceDE w:val="0"/>
        <w:autoSpaceDN w:val="0"/>
        <w:adjustRightInd w:val="0"/>
        <w:spacing w:after="0" w:line="276" w:lineRule="auto"/>
        <w:ind w:right="10"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 A mai arătat că reclamantul însă </w:t>
      </w:r>
      <w:r w:rsidRPr="00250C7F">
        <w:rPr>
          <w:rFonts w:ascii="Times New Roman" w:eastAsia="Calibri" w:hAnsi="Times New Roman" w:cs="Times New Roman"/>
          <w:bCs/>
          <w:sz w:val="24"/>
          <w:szCs w:val="24"/>
        </w:rPr>
        <w:t>nu a dovedit existenţa unui prejudiciu, legătura de cauzalitate prin cererea de chemare în judecată și nici prin înscrisuri, în ce fel şi sub ce aspect au fost lezate şi nici ce valori au fost lezate. Î</w:t>
      </w:r>
      <w:r w:rsidRPr="00250C7F">
        <w:rPr>
          <w:rFonts w:ascii="Times New Roman" w:eastAsia="Calibri" w:hAnsi="Times New Roman" w:cs="Times New Roman"/>
          <w:sz w:val="24"/>
          <w:szCs w:val="24"/>
        </w:rPr>
        <w:t>n plus, suma solicitată cu titlu de despăgubiri este excesivă, iar răspunderea civilă delictuală este menită să acopere o pagubă, nu să asigure un câştig. Presupusul prejudiciul moral, adică reparaţia pentru neliniştea, disconfortul şi incertitudinea cauzate de măsura condamnării reclamantului nu ţin de condiţiile de detenţie, ci de măsura de îngrădire a libertăţii care nu intră în competenţa sistemului penitenciar.</w:t>
      </w:r>
    </w:p>
    <w:p w14:paraId="33BA1F81" w14:textId="77777777" w:rsidR="00ED11C0" w:rsidRPr="00250C7F" w:rsidRDefault="00ED11C0" w:rsidP="00ED11C0">
      <w:pPr>
        <w:widowControl w:val="0"/>
        <w:shd w:val="clear" w:color="auto" w:fill="FFFFFF"/>
        <w:autoSpaceDE w:val="0"/>
        <w:autoSpaceDN w:val="0"/>
        <w:adjustRightInd w:val="0"/>
        <w:spacing w:after="0" w:line="276" w:lineRule="auto"/>
        <w:ind w:right="10" w:firstLine="851"/>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 xml:space="preserve">În concluzie, a considerat nejustificat demersul reclamantului de a specula o situaţie obiectivă în scopul obţinerii unor sume de bani, mai ales că acesta nu </w:t>
      </w:r>
      <w:r w:rsidRPr="00250C7F">
        <w:rPr>
          <w:rFonts w:ascii="Times New Roman" w:eastAsia="Calibri" w:hAnsi="Times New Roman" w:cs="Times New Roman"/>
          <w:bCs/>
          <w:color w:val="000000"/>
          <w:sz w:val="24"/>
          <w:szCs w:val="24"/>
        </w:rPr>
        <w:t>a</w:t>
      </w:r>
      <w:r w:rsidRPr="00250C7F">
        <w:rPr>
          <w:rFonts w:ascii="Times New Roman" w:eastAsia="Calibri" w:hAnsi="Times New Roman" w:cs="Times New Roman"/>
          <w:b/>
          <w:bCs/>
          <w:color w:val="000000"/>
          <w:sz w:val="24"/>
          <w:szCs w:val="24"/>
        </w:rPr>
        <w:t xml:space="preserve"> </w:t>
      </w:r>
      <w:r w:rsidRPr="00250C7F">
        <w:rPr>
          <w:rFonts w:ascii="Times New Roman" w:eastAsia="Calibri" w:hAnsi="Times New Roman" w:cs="Times New Roman"/>
          <w:color w:val="000000"/>
          <w:sz w:val="24"/>
          <w:szCs w:val="24"/>
        </w:rPr>
        <w:t xml:space="preserve">dovedit în concret </w:t>
      </w:r>
      <w:r w:rsidRPr="00250C7F">
        <w:rPr>
          <w:rFonts w:ascii="Times New Roman" w:eastAsia="Calibri" w:hAnsi="Times New Roman" w:cs="Times New Roman"/>
          <w:color w:val="000000"/>
          <w:sz w:val="24"/>
          <w:szCs w:val="24"/>
        </w:rPr>
        <w:lastRenderedPageBreak/>
        <w:t>intensitatea cu care a perceput consecinţele vătămării generate de încălcarea anumitor drepturi, în acest sens a invocat jurisprudența Înaltei Curți de Casație și Justiție.</w:t>
      </w:r>
    </w:p>
    <w:p w14:paraId="626FE68C" w14:textId="02D861A8" w:rsidR="00ED11C0" w:rsidRPr="00250C7F" w:rsidRDefault="00ED11C0" w:rsidP="00CC1589">
      <w:pPr>
        <w:widowControl w:val="0"/>
        <w:shd w:val="clear" w:color="auto" w:fill="FFFFFF"/>
        <w:autoSpaceDE w:val="0"/>
        <w:autoSpaceDN w:val="0"/>
        <w:adjustRightInd w:val="0"/>
        <w:spacing w:after="0" w:line="276" w:lineRule="auto"/>
        <w:ind w:left="19" w:firstLine="720"/>
        <w:jc w:val="both"/>
        <w:rPr>
          <w:rFonts w:ascii="Times New Roman" w:eastAsia="Calibri" w:hAnsi="Times New Roman" w:cs="Times New Roman"/>
          <w:color w:val="000000"/>
          <w:sz w:val="24"/>
          <w:szCs w:val="24"/>
        </w:rPr>
      </w:pPr>
      <w:r w:rsidRPr="00250C7F">
        <w:rPr>
          <w:rFonts w:ascii="Times New Roman" w:eastAsia="Calibri" w:hAnsi="Times New Roman" w:cs="Times New Roman"/>
          <w:iCs/>
          <w:color w:val="000000"/>
          <w:sz w:val="24"/>
          <w:szCs w:val="24"/>
        </w:rPr>
        <w:t>Intimata-pârâtă Administrația Județeană a Finanțelor Publice Neamț din cadrul Direcției Generale Regionale a Finanțelor Publice Iași, în numele și pentru Statul Român, prin Ministrul Finanțelor Publice,</w:t>
      </w:r>
      <w:r w:rsidRPr="00250C7F">
        <w:rPr>
          <w:rFonts w:ascii="Times New Roman" w:eastAsia="Calibri" w:hAnsi="Times New Roman" w:cs="Times New Roman"/>
          <w:color w:val="000000"/>
          <w:sz w:val="24"/>
          <w:szCs w:val="24"/>
        </w:rPr>
        <w:t xml:space="preserve"> a depus întâmpinare, prin care a solicitat respingerea recursului față de Statul Român, prin </w:t>
      </w:r>
      <w:r w:rsidR="00CC1589" w:rsidRPr="00250C7F">
        <w:rPr>
          <w:rFonts w:ascii="Times New Roman" w:eastAsia="Calibri" w:hAnsi="Times New Roman" w:cs="Times New Roman"/>
          <w:color w:val="000000"/>
          <w:sz w:val="24"/>
          <w:szCs w:val="24"/>
        </w:rPr>
        <w:t xml:space="preserve">Ministerul Finanțelor Publice, </w:t>
      </w:r>
      <w:r w:rsidRPr="00250C7F">
        <w:rPr>
          <w:rFonts w:ascii="Times New Roman" w:eastAsia="Calibri" w:hAnsi="Times New Roman" w:cs="Times New Roman"/>
          <w:color w:val="000000"/>
          <w:sz w:val="24"/>
          <w:szCs w:val="24"/>
        </w:rPr>
        <w:t>pentru lipsa calității procesuale pasive.</w:t>
      </w:r>
    </w:p>
    <w:p w14:paraId="79EC6372" w14:textId="77777777" w:rsidR="00ED11C0" w:rsidRPr="00250C7F" w:rsidRDefault="00ED11C0" w:rsidP="00ED11C0">
      <w:pPr>
        <w:widowControl w:val="0"/>
        <w:shd w:val="clear" w:color="auto" w:fill="FFFFFF"/>
        <w:autoSpaceDE w:val="0"/>
        <w:autoSpaceDN w:val="0"/>
        <w:adjustRightInd w:val="0"/>
        <w:spacing w:after="0" w:line="276" w:lineRule="auto"/>
        <w:ind w:right="10" w:firstLine="709"/>
        <w:jc w:val="both"/>
        <w:rPr>
          <w:rFonts w:ascii="Times New Roman" w:eastAsia="Calibri" w:hAnsi="Times New Roman" w:cs="Times New Roman"/>
          <w:sz w:val="24"/>
          <w:szCs w:val="24"/>
        </w:rPr>
      </w:pPr>
      <w:r w:rsidRPr="00250C7F">
        <w:rPr>
          <w:rFonts w:ascii="Times New Roman" w:eastAsia="Calibri" w:hAnsi="Times New Roman" w:cs="Times New Roman"/>
          <w:color w:val="000000"/>
          <w:sz w:val="24"/>
          <w:szCs w:val="24"/>
        </w:rPr>
        <w:t>A arătat că î</w:t>
      </w:r>
      <w:r w:rsidRPr="00250C7F">
        <w:rPr>
          <w:rFonts w:ascii="Times New Roman" w:eastAsia="Calibri" w:hAnsi="Times New Roman" w:cs="Times New Roman"/>
          <w:sz w:val="24"/>
          <w:szCs w:val="24"/>
        </w:rPr>
        <w:t>n mod temeinic și legal prima instanţa a admis excepţia lipsei calităţii procesuale pasive a Statului Român, prin Ministerul Finanţelor Publice, având în vedere motivele de fapt și de drept invocate de reclamantul-apelant A.</w:t>
      </w:r>
    </w:p>
    <w:p w14:paraId="7CAFFD67" w14:textId="77777777" w:rsidR="00ED11C0" w:rsidRPr="00250C7F" w:rsidRDefault="00ED11C0" w:rsidP="00ED11C0">
      <w:pPr>
        <w:widowControl w:val="0"/>
        <w:shd w:val="clear" w:color="auto" w:fill="FFFFFF"/>
        <w:autoSpaceDE w:val="0"/>
        <w:autoSpaceDN w:val="0"/>
        <w:adjustRightInd w:val="0"/>
        <w:spacing w:after="0" w:line="276" w:lineRule="auto"/>
        <w:ind w:left="10" w:right="29" w:firstLine="720"/>
        <w:jc w:val="both"/>
        <w:rPr>
          <w:rFonts w:ascii="Times New Roman" w:eastAsia="Calibri" w:hAnsi="Times New Roman" w:cs="Times New Roman"/>
          <w:sz w:val="24"/>
          <w:szCs w:val="24"/>
        </w:rPr>
      </w:pPr>
      <w:r w:rsidRPr="00250C7F">
        <w:rPr>
          <w:rFonts w:ascii="Times New Roman" w:eastAsia="Calibri" w:hAnsi="Times New Roman" w:cs="Times New Roman"/>
          <w:spacing w:val="-1"/>
          <w:sz w:val="24"/>
          <w:szCs w:val="24"/>
        </w:rPr>
        <w:t xml:space="preserve">Astfel, în raport de situația de fapt dedusă judecății și de art. 1392 din Codul de procedură civilă, Statul Român, prin Ministerul </w:t>
      </w:r>
      <w:r w:rsidRPr="00250C7F">
        <w:rPr>
          <w:rFonts w:ascii="Times New Roman" w:eastAsia="Calibri" w:hAnsi="Times New Roman" w:cs="Times New Roman"/>
          <w:sz w:val="24"/>
          <w:szCs w:val="24"/>
        </w:rPr>
        <w:t xml:space="preserve">Finanţelor Publice, nu poate avea calitate procesuală pasivă în cauză atâta timp cât acesta nu </w:t>
      </w:r>
      <w:r w:rsidRPr="00250C7F">
        <w:rPr>
          <w:rFonts w:ascii="Times New Roman" w:eastAsia="Calibri" w:hAnsi="Times New Roman" w:cs="Times New Roman"/>
          <w:spacing w:val="-1"/>
          <w:sz w:val="24"/>
          <w:szCs w:val="24"/>
        </w:rPr>
        <w:t xml:space="preserve">răspunde în numele și pentru Administraţia Naţională a </w:t>
      </w:r>
      <w:r w:rsidRPr="00250C7F">
        <w:rPr>
          <w:rFonts w:ascii="Times New Roman" w:eastAsia="Calibri" w:hAnsi="Times New Roman" w:cs="Times New Roman"/>
          <w:sz w:val="24"/>
          <w:szCs w:val="24"/>
        </w:rPr>
        <w:t>Penitenciarelor sau pentru Ministerul Public.</w:t>
      </w:r>
    </w:p>
    <w:p w14:paraId="06995554" w14:textId="77777777" w:rsidR="00ED11C0" w:rsidRPr="00250C7F" w:rsidRDefault="00ED11C0" w:rsidP="00ED11C0">
      <w:pPr>
        <w:widowControl w:val="0"/>
        <w:shd w:val="clear" w:color="auto" w:fill="FFFFFF"/>
        <w:autoSpaceDE w:val="0"/>
        <w:autoSpaceDN w:val="0"/>
        <w:adjustRightInd w:val="0"/>
        <w:spacing w:after="0" w:line="276" w:lineRule="auto"/>
        <w:ind w:left="19" w:right="19" w:firstLine="720"/>
        <w:jc w:val="both"/>
        <w:rPr>
          <w:rFonts w:ascii="Times New Roman" w:eastAsia="Calibri" w:hAnsi="Times New Roman" w:cs="Times New Roman"/>
          <w:spacing w:val="-1"/>
          <w:sz w:val="24"/>
          <w:szCs w:val="24"/>
        </w:rPr>
      </w:pPr>
      <w:r w:rsidRPr="00250C7F">
        <w:rPr>
          <w:rFonts w:ascii="Times New Roman" w:eastAsia="Calibri" w:hAnsi="Times New Roman" w:cs="Times New Roman"/>
          <w:spacing w:val="-1"/>
          <w:sz w:val="24"/>
          <w:szCs w:val="24"/>
        </w:rPr>
        <w:t xml:space="preserve">Prin urmare, raportul juridic este stabilit între persoana care a formulat cererea, </w:t>
      </w:r>
      <w:r w:rsidRPr="00250C7F">
        <w:rPr>
          <w:rFonts w:ascii="Times New Roman" w:eastAsia="Calibri" w:hAnsi="Times New Roman" w:cs="Times New Roman"/>
          <w:sz w:val="24"/>
          <w:szCs w:val="24"/>
        </w:rPr>
        <w:t xml:space="preserve">reclamantul, care își justifică astfel propria calitate procesuala activă și care se consideră vătămat și entitatea/entităţile juridice care, conform legii speciale, aveau </w:t>
      </w:r>
      <w:r w:rsidRPr="00250C7F">
        <w:rPr>
          <w:rFonts w:ascii="Times New Roman" w:eastAsia="Calibri" w:hAnsi="Times New Roman" w:cs="Times New Roman"/>
          <w:spacing w:val="-1"/>
          <w:sz w:val="24"/>
          <w:szCs w:val="24"/>
        </w:rPr>
        <w:t>competența de a decide asupra exercitării drepturilor reclamate.</w:t>
      </w:r>
    </w:p>
    <w:p w14:paraId="436B2333" w14:textId="77777777" w:rsidR="00ED11C0" w:rsidRPr="00250C7F" w:rsidRDefault="00ED11C0" w:rsidP="00ED11C0">
      <w:pPr>
        <w:widowControl w:val="0"/>
        <w:shd w:val="clear" w:color="auto" w:fill="FFFFFF"/>
        <w:autoSpaceDE w:val="0"/>
        <w:autoSpaceDN w:val="0"/>
        <w:adjustRightInd w:val="0"/>
        <w:spacing w:after="0" w:line="276" w:lineRule="auto"/>
        <w:ind w:left="19" w:right="19" w:firstLine="720"/>
        <w:jc w:val="both"/>
        <w:rPr>
          <w:rFonts w:ascii="Times New Roman" w:eastAsia="Calibri" w:hAnsi="Times New Roman" w:cs="Times New Roman"/>
          <w:iCs/>
          <w:sz w:val="24"/>
          <w:szCs w:val="24"/>
        </w:rPr>
      </w:pPr>
      <w:r w:rsidRPr="00250C7F">
        <w:rPr>
          <w:rFonts w:ascii="Times New Roman" w:eastAsia="Calibri" w:hAnsi="Times New Roman" w:cs="Times New Roman"/>
          <w:iCs/>
          <w:spacing w:val="-1"/>
          <w:sz w:val="24"/>
          <w:szCs w:val="24"/>
        </w:rPr>
        <w:t xml:space="preserve">Recurentul-pârât Penitenciarul București Rahova a depus răspuns la  întâmpinarea formulată de </w:t>
      </w:r>
      <w:r w:rsidRPr="00250C7F">
        <w:rPr>
          <w:rFonts w:ascii="Times New Roman" w:eastAsia="Calibri" w:hAnsi="Times New Roman" w:cs="Times New Roman"/>
          <w:iCs/>
          <w:color w:val="000000"/>
          <w:sz w:val="24"/>
          <w:szCs w:val="24"/>
        </w:rPr>
        <w:t xml:space="preserve">Statul Român, prin Ministrul Finanțelor Publice, Administrația Județeană a Finanțelor Publice Neamț, arătând că această parte are </w:t>
      </w:r>
      <w:r w:rsidRPr="00250C7F">
        <w:rPr>
          <w:rFonts w:ascii="Times New Roman" w:eastAsia="Calibri" w:hAnsi="Times New Roman" w:cs="Times New Roman"/>
          <w:iCs/>
          <w:sz w:val="24"/>
          <w:szCs w:val="24"/>
        </w:rPr>
        <w:t>calitate procesuală pasivă în măsura în care a legiferat posibilitatea ieșirii din penitenciar în vederea participării la înhumarea unei rude apropiate ca pe o recompensă, supunând-o regulilor de acordare a recompenselor.</w:t>
      </w:r>
    </w:p>
    <w:p w14:paraId="00323166" w14:textId="77777777" w:rsidR="00ED11C0" w:rsidRPr="00250C7F" w:rsidRDefault="00ED11C0" w:rsidP="00ED11C0">
      <w:pPr>
        <w:widowControl w:val="0"/>
        <w:shd w:val="clear" w:color="auto" w:fill="FFFFFF"/>
        <w:autoSpaceDE w:val="0"/>
        <w:autoSpaceDN w:val="0"/>
        <w:adjustRightInd w:val="0"/>
        <w:spacing w:after="0" w:line="276" w:lineRule="auto"/>
        <w:ind w:left="19" w:right="19"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spacing w:val="-1"/>
          <w:sz w:val="24"/>
          <w:szCs w:val="24"/>
        </w:rPr>
        <w:t xml:space="preserve">În consecință, </w:t>
      </w:r>
      <w:r w:rsidRPr="00250C7F">
        <w:rPr>
          <w:rFonts w:ascii="Times New Roman" w:eastAsia="Calibri" w:hAnsi="Times New Roman" w:cs="Times New Roman"/>
          <w:iCs/>
          <w:color w:val="000000"/>
          <w:sz w:val="24"/>
          <w:szCs w:val="24"/>
        </w:rPr>
        <w:t>Statul Român trebuia să facă o delimitare legislativă între acest drept și vocația de a beneficia  de o recompensă pentru celelalte motive prevăzute de legea de executare a pedepselor.</w:t>
      </w:r>
    </w:p>
    <w:p w14:paraId="209DCFAD" w14:textId="77777777" w:rsidR="00ED11C0" w:rsidRPr="00250C7F" w:rsidRDefault="00ED11C0" w:rsidP="00ED11C0">
      <w:pPr>
        <w:widowControl w:val="0"/>
        <w:shd w:val="clear" w:color="auto" w:fill="FFFFFF"/>
        <w:autoSpaceDE w:val="0"/>
        <w:autoSpaceDN w:val="0"/>
        <w:adjustRightInd w:val="0"/>
        <w:spacing w:after="0" w:line="276" w:lineRule="auto"/>
        <w:ind w:left="19" w:right="19"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spacing w:val="-1"/>
          <w:sz w:val="24"/>
          <w:szCs w:val="24"/>
        </w:rPr>
        <w:t xml:space="preserve">Intimata-pârâtă Administrația Națională a Penitenciarelor a depus răspuns la întâmpinarea formulată de </w:t>
      </w:r>
      <w:r w:rsidRPr="00250C7F">
        <w:rPr>
          <w:rFonts w:ascii="Times New Roman" w:eastAsia="Calibri" w:hAnsi="Times New Roman" w:cs="Times New Roman"/>
          <w:iCs/>
          <w:color w:val="000000"/>
          <w:sz w:val="24"/>
          <w:szCs w:val="24"/>
        </w:rPr>
        <w:t>Direcției Generale Regionale a Finanțelor Publice Iași, prin Administrația Județeană a Finanțelor Publice Neamț, arătând că în mod greșit a pretins că recursul s-a formulat în contradictoriu cu această parte în condițiile în care recurentul-pârât nu a criticat decizia atacată din perspectiva excepțiilor admise de instanța de apel, privind lipsa calității procesuale pasive a Administrația Naționale a Penitenciarelor și Ministerul Finanțelor Publice.</w:t>
      </w:r>
    </w:p>
    <w:p w14:paraId="6134ED79" w14:textId="77777777" w:rsidR="00ED11C0" w:rsidRPr="00250C7F" w:rsidRDefault="00ED11C0" w:rsidP="00ED11C0">
      <w:pPr>
        <w:widowControl w:val="0"/>
        <w:shd w:val="clear" w:color="auto" w:fill="FFFFFF"/>
        <w:autoSpaceDE w:val="0"/>
        <w:autoSpaceDN w:val="0"/>
        <w:adjustRightInd w:val="0"/>
        <w:spacing w:after="0" w:line="276" w:lineRule="auto"/>
        <w:ind w:left="19" w:right="19" w:firstLine="720"/>
        <w:jc w:val="both"/>
        <w:rPr>
          <w:rFonts w:ascii="Times New Roman" w:eastAsia="Calibri" w:hAnsi="Times New Roman" w:cs="Times New Roman"/>
          <w:iCs/>
          <w:sz w:val="24"/>
          <w:szCs w:val="24"/>
        </w:rPr>
      </w:pPr>
      <w:r w:rsidRPr="00250C7F">
        <w:rPr>
          <w:rFonts w:ascii="Times New Roman" w:eastAsia="Calibri" w:hAnsi="Times New Roman" w:cs="Times New Roman"/>
          <w:iCs/>
          <w:spacing w:val="-1"/>
          <w:sz w:val="24"/>
          <w:szCs w:val="24"/>
        </w:rPr>
        <w:t>Prin admiterea cererii de acordare a despăgubirilor, sumele pretinse de reclamant vor fi achitate din bugetul statului.</w:t>
      </w:r>
    </w:p>
    <w:p w14:paraId="46872A13" w14:textId="77777777" w:rsidR="00ED11C0" w:rsidRPr="00250C7F" w:rsidRDefault="00ED11C0" w:rsidP="00ED11C0">
      <w:pPr>
        <w:widowControl w:val="0"/>
        <w:shd w:val="clear" w:color="auto" w:fill="FFFFFF"/>
        <w:autoSpaceDE w:val="0"/>
        <w:autoSpaceDN w:val="0"/>
        <w:adjustRightInd w:val="0"/>
        <w:spacing w:after="0" w:line="276" w:lineRule="auto"/>
        <w:ind w:left="567" w:firstLine="153"/>
        <w:contextualSpacing/>
        <w:jc w:val="both"/>
        <w:rPr>
          <w:rFonts w:ascii="Times New Roman" w:eastAsia="Calibri" w:hAnsi="Times New Roman" w:cs="Times New Roman"/>
          <w:b/>
          <w:bCs/>
          <w:color w:val="000000"/>
          <w:sz w:val="24"/>
          <w:szCs w:val="24"/>
        </w:rPr>
      </w:pPr>
      <w:r w:rsidRPr="00250C7F">
        <w:rPr>
          <w:rFonts w:ascii="Times New Roman" w:eastAsia="Calibri" w:hAnsi="Times New Roman" w:cs="Times New Roman"/>
          <w:b/>
          <w:bCs/>
          <w:color w:val="000000"/>
          <w:sz w:val="24"/>
          <w:szCs w:val="24"/>
        </w:rPr>
        <w:t>II. Soluţia şi considerentele Înaltei Curţi de Casaţie şi Justiţie</w:t>
      </w:r>
    </w:p>
    <w:p w14:paraId="4A66030D"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rPr>
        <w:t xml:space="preserve">Examinând decizia recurată, prin prisma criticilor formulate de recurentul-pârât şi prin raportare la actele şi lucrările dosarului şi la dispoziţiile legale aplicabile, Înalta Curte constată că recursul este nefondat pentru considerentele ce urmează să fie expuse. </w:t>
      </w:r>
    </w:p>
    <w:p w14:paraId="468FF5FE"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O primă critică a recurentului-</w:t>
      </w:r>
      <w:r w:rsidRPr="00250C7F">
        <w:rPr>
          <w:rFonts w:ascii="Times New Roman" w:eastAsia="Calibri" w:hAnsi="Times New Roman" w:cs="Times New Roman"/>
          <w:sz w:val="24"/>
          <w:szCs w:val="24"/>
        </w:rPr>
        <w:t>pârât Penitenciarul Bucureşti Rahova</w:t>
      </w:r>
      <w:r w:rsidRPr="00250C7F">
        <w:rPr>
          <w:rFonts w:ascii="Times New Roman" w:eastAsia="Calibri" w:hAnsi="Times New Roman" w:cs="Times New Roman"/>
          <w:iCs/>
          <w:color w:val="000000"/>
          <w:sz w:val="24"/>
          <w:szCs w:val="24"/>
        </w:rPr>
        <w:t xml:space="preserve">  aduce în discuție legalitatea soluției instanței de apel prin prisma aplicării eronate a art. 8 din C.E.D.O.</w:t>
      </w:r>
    </w:p>
    <w:p w14:paraId="1BDCFD2C"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 xml:space="preserve">Astfel, din perspectiva marjei de apreciere a autorităţii naţionale la care face referire C.E.D.O. în Hotărârea Kanalas, recurentul-pârât pretinde că respingerea cererii reclamantului de a ieşi din penitenciar pentru a participa la înmormântarea părinţilor săi constituie o ingerință prevăzută de lege, are un scop legitim în sensul art. 8 din C.E.D.O. şi reprezintă o măsură necesară într-o societate democratică pentru asigurarea ordinii și siguranței publice și prevenirea </w:t>
      </w:r>
      <w:r w:rsidRPr="00250C7F">
        <w:rPr>
          <w:rFonts w:ascii="Times New Roman" w:eastAsia="Calibri" w:hAnsi="Times New Roman" w:cs="Times New Roman"/>
          <w:iCs/>
          <w:color w:val="000000"/>
          <w:sz w:val="24"/>
          <w:szCs w:val="24"/>
        </w:rPr>
        <w:lastRenderedPageBreak/>
        <w:t>faptelor penale date fiind circumstanțele particulare ale speței.</w:t>
      </w:r>
    </w:p>
    <w:p w14:paraId="07E94A0B"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Tot astfel,  nici în contextul reglementării răspunderii civile delictuale prin dispozițiile art. 1357 din Codul civil, nu se poate reţine existenţa unei fapte ilicite în sarcina sa din moment ce reclamantul se bucură doar de o vocaţie la recompensare, iar nu de un drept care să impună o obligaţie şi să determine un prejudiciu.</w:t>
      </w:r>
    </w:p>
    <w:p w14:paraId="1BCA3F4C"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Or, respingerea cererii de recompensare s-a produs în urma analizei comisiei competente, potrivit legii,  care are dreptul în a face aprecieri asupra condiţiilor în care permisiunea de ieşire din penitenciar se poate acorda.</w:t>
      </w:r>
    </w:p>
    <w:p w14:paraId="38EAFC09"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Înalta Curte constată că formulând aceste critici, recurentul-pârât ignoră justeţea statuărilor primei instanțe, validate de instanța de apel, care a expus, într-o motivare substanțială, argumentele pentru care a considerat că motivele invocate de pârât în justificarea refuzului de a-i acorda reclamantului permisiunea de ieșire din penitenciar pentru a participa la înmormântare părinților săi nu sunt suficiente pentru a demonstra că ingerința în dreptul persoanei la respectarea vieții sale private a fost necesară într-o societate democratică din perspectiva jurisprudenței C.E.D.O. în materie, care are aplicabilitate directă şi prioritară faţă de legislaţia naţională, potrivit art. 20 alin. (2) din Constituţia României.</w:t>
      </w:r>
    </w:p>
    <w:p w14:paraId="29D3AC4E"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Drepturile reglementate de art. 8 al Convenţiei Europene sunt incluse în categoria drepturilor condiţionale, întrucât ingerinţa unei autorităţi publice este permisă în limita în care o asemenea ingerinţă este prevăzută de lege şi constituie o măsură care, într-o societate democratică, este necesară, printre altele, pentru siguranţa publică, apărarea ordinii publice, prevenirea faptelor penale ori protejarea drepturilor şi intereselor legitime ale altor persoane.</w:t>
      </w:r>
    </w:p>
    <w:p w14:paraId="3885E74E"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Aşadar, pentru a fi conformă cu dispoziţiile Convenţiei, ingerinţa autorităţilor statale în exerciţiul drepturilor protejate de art. 8 trebuie să fie prevăzută de lege, să urmărească un scop legitim, să apară necesară într-o societate democratică şi să fie proporţională cu scopul urmărit, adică să fie determinată de existenţa unei nevoi sociale imperioase care a impus-o în vederea identificării echilibrului care trebuie să existe între interesul general şi respectarea în concret a unuia dintre drepturile protejate.  </w:t>
      </w:r>
    </w:p>
    <w:p w14:paraId="0407734E"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color w:val="000000"/>
          <w:sz w:val="24"/>
          <w:szCs w:val="24"/>
        </w:rPr>
      </w:pPr>
      <w:r w:rsidRPr="00250C7F">
        <w:rPr>
          <w:rFonts w:ascii="Times New Roman" w:eastAsia="Calibri" w:hAnsi="Times New Roman" w:cs="Times New Roman"/>
          <w:color w:val="000000"/>
          <w:sz w:val="24"/>
          <w:szCs w:val="24"/>
          <w:shd w:val="clear" w:color="auto" w:fill="FFFFFF"/>
        </w:rPr>
        <w:t>În examinarea conduitei pârâtului, prima instanță a avut în vedere jurisprudența Curții Europene a Drepturilor Omului, cu referire în special la cauza Kanalas împotriva României, pe care a găsit-o ca fiind similară, din punct de vedere al circumstanțelor de fapt, cu cea dedusă judecății pendinte, pe baza acestei analogii și prin prisma statuărilor Curții Europene, reținând că fapta ilicită a pârâtului chemat în judecată constă în încălcarea art. 8 din Convenție.</w:t>
      </w:r>
      <w:r w:rsidRPr="00250C7F">
        <w:rPr>
          <w:rFonts w:ascii="Times New Roman" w:eastAsia="Calibri" w:hAnsi="Times New Roman" w:cs="Times New Roman"/>
          <w:color w:val="000000"/>
          <w:sz w:val="24"/>
          <w:szCs w:val="24"/>
        </w:rPr>
        <w:t xml:space="preserve"> </w:t>
      </w:r>
    </w:p>
    <w:p w14:paraId="2CDF3441"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În considerentele hotărârii pronunţate în cauza Kanalas împotriva României, Curtea Europeană a concluzionat că autorităţile naţionale nu au realizat o punere în balanţă a intereselor aflate în joc, respectiv, pe de o parte, dreptul reclamantului la respectarea vieţii sale de familie şi, pe de altă parte, asigurarea ordinii şi siguranţei publice şi prevenirea faptelor penale.</w:t>
      </w:r>
    </w:p>
    <w:p w14:paraId="09E46EF1"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Curtea Europeană a menţionat că deşi detenţia, la fel ca orice altă măsură privativă de libertate, implică, prin natura sa, restricţii privind viaţa privată şi de familie a persoanei în cauză, cu toate acestea, este esenţial, pentru respectarea vieţii de familie, ca administraţia penitenciarului să îi permită persoanei private de libertate şi să o sprijine, atunci când este necesar, să menţină contactul cu rudele apropiate (Messina împotriva Italiei şi Khoroshenko împotriva Rusiei).</w:t>
      </w:r>
    </w:p>
    <w:p w14:paraId="1B80D86A" w14:textId="77777777" w:rsidR="00ED11C0" w:rsidRPr="00250C7F" w:rsidRDefault="00ED11C0" w:rsidP="00ED11C0">
      <w:pPr>
        <w:shd w:val="clear" w:color="auto" w:fill="FFFFFF"/>
        <w:spacing w:after="0" w:line="276" w:lineRule="auto"/>
        <w:ind w:firstLine="720"/>
        <w:jc w:val="both"/>
        <w:rPr>
          <w:rFonts w:ascii="Times New Roman" w:eastAsia="Times New Roman" w:hAnsi="Times New Roman" w:cs="Times New Roman"/>
          <w:color w:val="000000"/>
          <w:sz w:val="24"/>
          <w:szCs w:val="24"/>
        </w:rPr>
      </w:pPr>
      <w:r w:rsidRPr="00250C7F">
        <w:rPr>
          <w:rFonts w:ascii="Times New Roman" w:eastAsia="Times New Roman" w:hAnsi="Times New Roman" w:cs="Times New Roman"/>
          <w:color w:val="000000"/>
          <w:sz w:val="24"/>
          <w:szCs w:val="24"/>
        </w:rPr>
        <w:t>În ceea ce privește infracțiunea pentru care a fost condamnat reclamantul, prima instanță a expus corect jurisprudența C.E.D.O. în materie, care a stabilit că a existat o încălcare a art. 8 și în situații în care era vorba despre infracțiuni mai grave.</w:t>
      </w:r>
    </w:p>
    <w:p w14:paraId="38FB0B36" w14:textId="77777777" w:rsidR="00ED11C0" w:rsidRPr="00250C7F" w:rsidRDefault="00ED11C0" w:rsidP="00ED11C0">
      <w:pPr>
        <w:widowControl w:val="0"/>
        <w:autoSpaceDE w:val="0"/>
        <w:autoSpaceDN w:val="0"/>
        <w:adjustRightInd w:val="0"/>
        <w:spacing w:after="0" w:line="276" w:lineRule="auto"/>
        <w:ind w:firstLine="709"/>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lastRenderedPageBreak/>
        <w:t>Astfel, Curtea Europeană a Drepturilor Omului „</w:t>
      </w:r>
      <w:r w:rsidRPr="00250C7F">
        <w:rPr>
          <w:rFonts w:ascii="Times New Roman" w:eastAsia="Calibri" w:hAnsi="Times New Roman" w:cs="Times New Roman"/>
          <w:bCs/>
          <w:iCs/>
          <w:color w:val="000000"/>
          <w:sz w:val="24"/>
          <w:szCs w:val="24"/>
        </w:rPr>
        <w:t>nu a acordat o importanţă primordială infracţiunilor pentru care fuseseră condamnaţi reclamanţii</w:t>
      </w:r>
      <w:r w:rsidRPr="00250C7F">
        <w:rPr>
          <w:rFonts w:ascii="Times New Roman" w:eastAsia="Calibri" w:hAnsi="Times New Roman" w:cs="Times New Roman"/>
          <w:iCs/>
          <w:color w:val="000000"/>
          <w:sz w:val="24"/>
          <w:szCs w:val="24"/>
        </w:rPr>
        <w:t xml:space="preserve"> în cauzele care priveau problema permisiunii de ieşire din penitenciar din motive legate de familie” (</w:t>
      </w:r>
      <w:hyperlink r:id="rId11" w:tgtFrame="_blank" w:history="1">
        <w:r w:rsidRPr="00250C7F">
          <w:rPr>
            <w:rFonts w:ascii="Times New Roman" w:eastAsia="Calibri" w:hAnsi="Times New Roman" w:cs="Times New Roman"/>
            <w:iCs/>
            <w:color w:val="000000"/>
            <w:sz w:val="24"/>
            <w:szCs w:val="24"/>
            <w:u w:val="single"/>
          </w:rPr>
          <w:t>Schemkamper</w:t>
        </w:r>
      </w:hyperlink>
      <w:r w:rsidRPr="00250C7F">
        <w:rPr>
          <w:rFonts w:ascii="Times New Roman" w:eastAsia="Calibri" w:hAnsi="Times New Roman" w:cs="Times New Roman"/>
          <w:iCs/>
          <w:color w:val="000000"/>
          <w:sz w:val="24"/>
          <w:szCs w:val="24"/>
        </w:rPr>
        <w:t xml:space="preserve">, pct. 33-36 – cauză în care reclamantul, vinovat de omor, executa o pedeapsă de 20 de ani de închisoare –, şi </w:t>
      </w:r>
      <w:hyperlink r:id="rId12" w:tgtFrame="_blank" w:history="1">
        <w:r w:rsidRPr="00250C7F">
          <w:rPr>
            <w:rFonts w:ascii="Times New Roman" w:eastAsia="Calibri" w:hAnsi="Times New Roman" w:cs="Times New Roman"/>
            <w:iCs/>
            <w:color w:val="000000"/>
            <w:sz w:val="24"/>
            <w:szCs w:val="24"/>
            <w:u w:val="single"/>
          </w:rPr>
          <w:t xml:space="preserve">Giszczak împotriva Poloniei, nr. 40195/08, pct. 36-39, 29 noiembrie 2011 </w:t>
        </w:r>
      </w:hyperlink>
      <w:r w:rsidRPr="00250C7F">
        <w:rPr>
          <w:rFonts w:ascii="Times New Roman" w:eastAsia="Calibri" w:hAnsi="Times New Roman" w:cs="Times New Roman"/>
          <w:iCs/>
          <w:color w:val="000000"/>
          <w:sz w:val="24"/>
          <w:szCs w:val="24"/>
        </w:rPr>
        <w:t>– cauză în care reclamantul, vinovat de instigare la săvârşirea infracțiunii de omor, executa o pedeapsă de 13 ani de închisoare).</w:t>
      </w:r>
    </w:p>
    <w:p w14:paraId="11E9F302"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bCs/>
          <w:color w:val="000000"/>
          <w:sz w:val="24"/>
          <w:szCs w:val="24"/>
          <w:shd w:val="clear" w:color="auto" w:fill="FFFFFF"/>
        </w:rPr>
      </w:pPr>
      <w:r w:rsidRPr="00250C7F">
        <w:rPr>
          <w:rFonts w:ascii="Times New Roman" w:eastAsia="Calibri" w:hAnsi="Times New Roman" w:cs="Times New Roman"/>
          <w:color w:val="000000"/>
          <w:sz w:val="24"/>
          <w:szCs w:val="24"/>
          <w:shd w:val="clear" w:color="auto" w:fill="FFFFFF"/>
        </w:rPr>
        <w:t>Înalta Curte observă că reglementările conținute la art. 213 alin. (2) și (3) din Regulamentul de aplicare a Legii nr. 254/2013 privind executarea pedepselor și a măsurilor privative de libertate dispuse de organele judiciare în cursul procesului penal, aprobat prin H.G. nr. 157/2016, publicată în Monitorul Oficial nr. 271 din 11 aprilie 2016, ce au fundamentat decizia de respingere a cererii reclamantului, </w:t>
      </w:r>
      <w:r w:rsidRPr="00250C7F">
        <w:rPr>
          <w:rFonts w:ascii="Times New Roman" w:eastAsia="Calibri" w:hAnsi="Times New Roman" w:cs="Times New Roman"/>
          <w:bCs/>
          <w:color w:val="000000"/>
          <w:sz w:val="24"/>
          <w:szCs w:val="24"/>
          <w:shd w:val="clear" w:color="auto" w:fill="FFFFFF"/>
        </w:rPr>
        <w:t>au rolul de a circumstanția condițiile și criteriile obiective care trebuie îndeplinite pentru a putea beneficia de această recompensă, prin raportare atât la scopul urmărit prin aplicarea unei pedepse privative de libertate, cât și la interesul general constând în protejarea ordinii publice și a siguranței cetățenilor.</w:t>
      </w:r>
    </w:p>
    <w:p w14:paraId="571C45C7"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bCs/>
          <w:iCs/>
          <w:color w:val="000000"/>
          <w:sz w:val="24"/>
          <w:szCs w:val="24"/>
          <w:shd w:val="clear" w:color="auto" w:fill="FFFFFF"/>
        </w:rPr>
      </w:pPr>
      <w:r w:rsidRPr="00250C7F">
        <w:rPr>
          <w:rFonts w:ascii="Times New Roman" w:eastAsia="Calibri" w:hAnsi="Times New Roman" w:cs="Times New Roman"/>
          <w:bCs/>
          <w:iCs/>
          <w:color w:val="000000"/>
          <w:sz w:val="24"/>
          <w:szCs w:val="24"/>
          <w:shd w:val="clear" w:color="auto" w:fill="FFFFFF"/>
        </w:rPr>
        <w:t>Curtea Europeană a Drepturilor Omului a apreciat că refuzul de a-i permite reclamantului să iasă din mediul carceral pentru a participa la înmormântarea mamei sale trebuie să fie considerat o ingerinţă în dreptul persoanei în cauză la respectarea vieţii de familie (Ploski împotriva Poloniei), o astfel de ingerinţă neîncălcând Convenţia, dacă este prevăzută de lege, are cel puţin un scop legitim în sensul art. 8 din Convenţie şi poate fi considerată o măsură necesară într-o societate democratică.</w:t>
      </w:r>
    </w:p>
    <w:p w14:paraId="72ADCA04"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color w:val="000000"/>
          <w:sz w:val="24"/>
          <w:szCs w:val="24"/>
          <w:shd w:val="clear" w:color="auto" w:fill="FFFFFF"/>
        </w:rPr>
      </w:pPr>
      <w:r w:rsidRPr="00250C7F">
        <w:rPr>
          <w:rFonts w:ascii="Times New Roman" w:eastAsia="Calibri" w:hAnsi="Times New Roman" w:cs="Times New Roman"/>
          <w:color w:val="000000"/>
          <w:sz w:val="24"/>
          <w:szCs w:val="24"/>
          <w:shd w:val="clear" w:color="auto" w:fill="FFFFFF"/>
        </w:rPr>
        <w:t xml:space="preserve">Pentru a stabili dacă măsura în cauză era „necesară într-o societate democratică”, Curtea </w:t>
      </w:r>
      <w:r w:rsidRPr="00250C7F">
        <w:rPr>
          <w:rFonts w:ascii="Times New Roman" w:eastAsia="Calibri" w:hAnsi="Times New Roman" w:cs="Times New Roman"/>
          <w:bCs/>
          <w:iCs/>
          <w:color w:val="000000"/>
          <w:sz w:val="24"/>
          <w:szCs w:val="24"/>
          <w:shd w:val="clear" w:color="auto" w:fill="FFFFFF"/>
        </w:rPr>
        <w:t xml:space="preserve">Europeană a Drepturilor Omului </w:t>
      </w:r>
      <w:r w:rsidRPr="00250C7F">
        <w:rPr>
          <w:rFonts w:ascii="Times New Roman" w:eastAsia="Calibri" w:hAnsi="Times New Roman" w:cs="Times New Roman"/>
          <w:color w:val="000000"/>
          <w:sz w:val="24"/>
          <w:szCs w:val="24"/>
          <w:shd w:val="clear" w:color="auto" w:fill="FFFFFF"/>
        </w:rPr>
        <w:t>a statuat că pentru a preciza obligațiile asumate în materie de către statele contractante în temeiul art. 8 din Convenție, trebuie să se țină seama de cerințele normale și rezonabile ale încarcerării și de întinderea marjei de apreciere care trebuie acordată, în consecință, autorităților naționale, atunci când reglementează contactele unei persoane deținute cu familia acesteia. Cu toate acestea, statul are obligația de a demonstra că restricțiile inerente aplicate drepturilor și libertăților persoanei deținute sunt necesare într-o societate democratică și se bazează pe o nevoie socială imperioasă.</w:t>
      </w:r>
    </w:p>
    <w:p w14:paraId="102BFCC8"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 xml:space="preserve">Astfel fiind, în mod corect a apreciat instanța de apel că motivele  care au stat la baza respingerii cererii nu sunt suficiente pentru a demonstra că ingerinţa denunţată era necesară într-o societate democratică atâta timp cât intimatul-reclamant nu fusese sancționat disciplinar, iar acordarea </w:t>
      </w:r>
      <w:r w:rsidRPr="00250C7F">
        <w:rPr>
          <w:rFonts w:ascii="Times New Roman" w:eastAsia="Calibri" w:hAnsi="Times New Roman" w:cs="Times New Roman"/>
          <w:color w:val="000000"/>
          <w:sz w:val="24"/>
          <w:szCs w:val="24"/>
          <w:shd w:val="clear" w:color="auto" w:fill="FFFFFF"/>
        </w:rPr>
        <w:t>permisiunii de a ieși din penitenciar</w:t>
      </w:r>
      <w:r w:rsidRPr="00250C7F">
        <w:rPr>
          <w:rFonts w:ascii="Times New Roman" w:eastAsia="Calibri" w:hAnsi="Times New Roman" w:cs="Times New Roman"/>
          <w:iCs/>
          <w:color w:val="000000"/>
          <w:sz w:val="24"/>
          <w:szCs w:val="24"/>
        </w:rPr>
        <w:t xml:space="preserve"> nu s-a demonstrat a fi în măsură să genereze o stare de pericol pentru ordinea publică și siguranța cetățenilor.</w:t>
      </w:r>
    </w:p>
    <w:p w14:paraId="028D4BEB"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 xml:space="preserve">Drept urmare, în lipsa unor elemente care să confere legitimitate refuzului acordării beneficiului prevăzut de lege, instanţa de apel a urmărit să-i asigure intimatului-reclamant o satisfacţie echitabilă pentru prejudiciul moral cauzat de neparticiparea la înmormântarea părinţilor săi. </w:t>
      </w:r>
    </w:p>
    <w:p w14:paraId="01A61FE3" w14:textId="77777777" w:rsidR="00ED11C0" w:rsidRPr="00250C7F" w:rsidRDefault="00ED11C0" w:rsidP="00ED11C0">
      <w:pPr>
        <w:shd w:val="clear" w:color="auto" w:fill="FFFFFF"/>
        <w:spacing w:after="0" w:line="276" w:lineRule="auto"/>
        <w:ind w:firstLine="720"/>
        <w:jc w:val="both"/>
        <w:rPr>
          <w:rFonts w:ascii="Times New Roman" w:eastAsia="Times New Roman" w:hAnsi="Times New Roman" w:cs="Times New Roman"/>
          <w:color w:val="000000"/>
          <w:sz w:val="24"/>
          <w:szCs w:val="24"/>
        </w:rPr>
      </w:pPr>
      <w:r w:rsidRPr="00250C7F">
        <w:rPr>
          <w:rFonts w:ascii="Times New Roman" w:eastAsia="Times New Roman" w:hAnsi="Times New Roman" w:cs="Times New Roman"/>
          <w:bCs/>
          <w:color w:val="000000"/>
          <w:sz w:val="24"/>
          <w:szCs w:val="24"/>
        </w:rPr>
        <w:t xml:space="preserve">Câtă vreme modalitatea de acordare a recompensei constând în permisiunea ieșirii din penitenciar este reglementată într-o manieră care permite o evaluare a capacității persoanelor condamnate de a respecta regulile de conviețuire socială în momentul în care vor primi permisiunea de ieșire din penitenciar, este necesar ca personalul penitenciarului să aibă la dispoziție criteriile necesare pentru a aprecia în mod obiectiv cu privire la orice solicitare de acest </w:t>
      </w:r>
      <w:r w:rsidRPr="00250C7F">
        <w:rPr>
          <w:rFonts w:ascii="Times New Roman" w:eastAsia="Times New Roman" w:hAnsi="Times New Roman" w:cs="Times New Roman"/>
          <w:bCs/>
          <w:color w:val="000000"/>
          <w:sz w:val="24"/>
          <w:szCs w:val="24"/>
        </w:rPr>
        <w:lastRenderedPageBreak/>
        <w:t>gen, cu luarea în considerare inclusiv a siguranței comunității în care persoana va ajunge ca urmare permisiunii acordate.</w:t>
      </w:r>
    </w:p>
    <w:p w14:paraId="5D21ECB5"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Printr-o a doua critică, recurentul-pârât a susținut neîntrunirea condițiilor răspunderii civile delictuale reglementate de art. 1357 din Codul civil din moment ce reclamantul se bucură, în baza legii, doar de o vocație de recompensare, iar nu de un drept care să impună comisiei constituite o obligație și care să determine un prejudiciu.</w:t>
      </w:r>
    </w:p>
    <w:p w14:paraId="7982B0CA"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nu se poate aprecia că eventualul prejudiciu moral pe care l-a suferit reclamantul se datorează unei fapte ilicite a pârâtului, care a respectat dispozițiile legale incidente în cauză.</w:t>
      </w:r>
    </w:p>
    <w:p w14:paraId="25C528B3" w14:textId="77777777" w:rsidR="00ED11C0" w:rsidRPr="00250C7F" w:rsidRDefault="00ED11C0" w:rsidP="00ED11C0">
      <w:pPr>
        <w:widowControl w:val="0"/>
        <w:autoSpaceDE w:val="0"/>
        <w:autoSpaceDN w:val="0"/>
        <w:adjustRightInd w:val="0"/>
        <w:spacing w:after="0" w:line="276" w:lineRule="auto"/>
        <w:ind w:firstLine="567"/>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  Criticile sunt nefondate.</w:t>
      </w:r>
    </w:p>
    <w:p w14:paraId="17B7237C" w14:textId="77777777" w:rsidR="00ED11C0" w:rsidRPr="00250C7F" w:rsidRDefault="00ED11C0" w:rsidP="00ED11C0">
      <w:pPr>
        <w:shd w:val="clear" w:color="auto" w:fill="FFFFFF"/>
        <w:spacing w:after="0" w:line="276" w:lineRule="auto"/>
        <w:ind w:firstLine="720"/>
        <w:jc w:val="both"/>
        <w:rPr>
          <w:rFonts w:ascii="Times New Roman" w:eastAsia="Times New Roman" w:hAnsi="Times New Roman" w:cs="Times New Roman"/>
          <w:color w:val="000000"/>
          <w:sz w:val="24"/>
          <w:szCs w:val="24"/>
        </w:rPr>
      </w:pPr>
      <w:r w:rsidRPr="00250C7F">
        <w:rPr>
          <w:rFonts w:ascii="Times New Roman" w:eastAsia="Times New Roman" w:hAnsi="Times New Roman" w:cs="Times New Roman"/>
          <w:bCs/>
          <w:color w:val="000000"/>
          <w:sz w:val="24"/>
          <w:szCs w:val="24"/>
        </w:rPr>
        <w:t xml:space="preserve">Din </w:t>
      </w:r>
      <w:r w:rsidRPr="00250C7F">
        <w:rPr>
          <w:rFonts w:ascii="Times New Roman" w:eastAsia="Times New Roman" w:hAnsi="Times New Roman" w:cs="Times New Roman"/>
          <w:color w:val="000000"/>
          <w:sz w:val="24"/>
          <w:szCs w:val="24"/>
        </w:rPr>
        <w:t>interpretarea gramaticală a prevederilor art. 98 din Legea nr. 254/2013 rezultă că acordarea recompenselor este o posibilitate și nu un drept, acordarea unui anume tip de recompensă fiind atributul administrației penitenciare, conform prerogativelor stabilite de cadrul legal execuțional penal.</w:t>
      </w:r>
    </w:p>
    <w:p w14:paraId="67D91852" w14:textId="77777777" w:rsidR="00ED11C0" w:rsidRPr="00250C7F" w:rsidRDefault="00ED11C0" w:rsidP="00ED11C0">
      <w:pPr>
        <w:shd w:val="clear" w:color="auto" w:fill="FFFFFF"/>
        <w:spacing w:after="0" w:line="276" w:lineRule="auto"/>
        <w:jc w:val="both"/>
        <w:rPr>
          <w:rFonts w:ascii="Times New Roman" w:eastAsia="Times New Roman" w:hAnsi="Times New Roman" w:cs="Times New Roman"/>
          <w:color w:val="000000"/>
          <w:sz w:val="24"/>
          <w:szCs w:val="24"/>
          <w:shd w:val="clear" w:color="auto" w:fill="FFFFFF"/>
        </w:rPr>
      </w:pPr>
      <w:r w:rsidRPr="00250C7F">
        <w:rPr>
          <w:rFonts w:ascii="Times New Roman" w:eastAsia="Times New Roman" w:hAnsi="Times New Roman" w:cs="Times New Roman"/>
          <w:bCs/>
          <w:color w:val="000000"/>
          <w:sz w:val="24"/>
          <w:szCs w:val="24"/>
        </w:rPr>
        <w:t xml:space="preserve">           </w:t>
      </w:r>
      <w:r w:rsidRPr="00250C7F">
        <w:rPr>
          <w:rFonts w:ascii="Times New Roman" w:eastAsia="Times New Roman" w:hAnsi="Times New Roman" w:cs="Times New Roman"/>
          <w:color w:val="000000"/>
          <w:sz w:val="24"/>
          <w:szCs w:val="24"/>
          <w:shd w:val="clear" w:color="auto" w:fill="FFFFFF"/>
        </w:rPr>
        <w:t>Referitor la persoanele private de libertate, Curtea Europeană a Drepturilor Omului a subliniat în mod constant în jurisprudența sa că un deținut nu pierde, prin simplul fapt al încarcerării sale, apărarea drepturilor sale garantate prin convenție. Din contră, persoanele aflate în detenție au o poziție vulnerabilă, iar autoritățile au obligația să le apere. Statul trebuie să se asigure că o persoană este deținută în condiții compatibile cu respectarea demnității sale umane, că modul și metoda de executare a măsurii nu o supun la stres sau greutăți care depășesc nivelul inevitabil de suferință inerent în detenție și că drepturile sale fundamentale, cum este cel la viață privată și de familie, sunt asigurate în mod adecvat.</w:t>
      </w:r>
    </w:p>
    <w:p w14:paraId="0E86FE8C"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 xml:space="preserve"> În contextul expus, în raport de circumstanțele factuale ale speței, instanţa de apel a confirmat soluţia primei instanţe care a făcut o analiză justă a îndeplinirii condiţiilor răspunderii civile delictuale din perspectiva jurisprudenţei C.E.D.O. în ceea ce priveşte păstrarea justului echilibru între interesul general şi drepturile intimatului-reclamant.</w:t>
      </w:r>
    </w:p>
    <w:p w14:paraId="6BE004E4"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Sub aspectul existenței faptei ilicite, s-a apreciat că refuzul autorităților de a acorda permisiunea reclamantului de ieșire din penitenciar pentru a participa la înmormântarea părinţilor săi poate fi reținut ca temei al acestei forme de răspundere civilă delictuală generatoare a obligației de despăgubire a persoanei vătămate.</w:t>
      </w:r>
    </w:p>
    <w:p w14:paraId="0C289C56" w14:textId="77777777"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sz w:val="24"/>
          <w:szCs w:val="24"/>
        </w:rPr>
        <w:t>Nu interesează analiza formei de vinovăţie în persoana pârâtului câtă vreme şi cea mai uşoară culpă este suficientă, ea decurgând din împrejurarea că pârâtul putea să prevadă că, în situaţia particulară a reclamantului, simpla respingere a cererii de acordare a recompensei era aptă să-i producă părţii adverse un prejudiciu.</w:t>
      </w:r>
    </w:p>
    <w:p w14:paraId="0D024C50" w14:textId="77777777" w:rsidR="00ED11C0" w:rsidRPr="00250C7F" w:rsidRDefault="00ED11C0" w:rsidP="00ED11C0">
      <w:pPr>
        <w:widowControl w:val="0"/>
        <w:autoSpaceDE w:val="0"/>
        <w:autoSpaceDN w:val="0"/>
        <w:adjustRightInd w:val="0"/>
        <w:spacing w:after="0" w:line="276" w:lineRule="auto"/>
        <w:ind w:firstLine="567"/>
        <w:jc w:val="both"/>
        <w:rPr>
          <w:rFonts w:ascii="Times New Roman" w:eastAsia="Calibri" w:hAnsi="Times New Roman" w:cs="Times New Roman"/>
          <w:color w:val="000000"/>
          <w:sz w:val="24"/>
          <w:szCs w:val="24"/>
        </w:rPr>
      </w:pPr>
      <w:r w:rsidRPr="00250C7F">
        <w:rPr>
          <w:rFonts w:ascii="Times New Roman" w:eastAsia="Calibri" w:hAnsi="Times New Roman" w:cs="Times New Roman"/>
          <w:iCs/>
          <w:color w:val="000000"/>
          <w:sz w:val="24"/>
          <w:szCs w:val="24"/>
        </w:rPr>
        <w:t xml:space="preserve"> În privința prejudiciului reclamat, se reține că acesta reprezintă o consecinţă directă a faptei </w:t>
      </w:r>
      <w:r w:rsidRPr="00250C7F">
        <w:rPr>
          <w:rFonts w:ascii="Times New Roman" w:eastAsia="Calibri" w:hAnsi="Times New Roman" w:cs="Times New Roman"/>
          <w:sz w:val="24"/>
          <w:szCs w:val="24"/>
        </w:rPr>
        <w:t>refuzului autorităţilor de a da curs cererii formulate și atingerii valorilor morale protejate de lege - demnitatea umană şi viaţa de familie,</w:t>
      </w:r>
      <w:r w:rsidRPr="00250C7F">
        <w:rPr>
          <w:rFonts w:ascii="Times New Roman" w:eastAsia="Calibri" w:hAnsi="Times New Roman" w:cs="Times New Roman"/>
          <w:iCs/>
          <w:color w:val="000000"/>
          <w:sz w:val="24"/>
          <w:szCs w:val="24"/>
        </w:rPr>
        <w:t xml:space="preserve"> cu impact negativ în plan psihic şi afectiv ce a determinat producerea </w:t>
      </w:r>
      <w:r w:rsidRPr="00250C7F">
        <w:rPr>
          <w:rFonts w:ascii="Times New Roman" w:eastAsia="Calibri" w:hAnsi="Times New Roman" w:cs="Times New Roman"/>
          <w:color w:val="000000"/>
          <w:sz w:val="24"/>
          <w:szCs w:val="24"/>
        </w:rPr>
        <w:t>unui prejudiciu moral concretizat în suferința generată reclamantului de semnificația evenimentului produs în viața sa, dublată de sentimentul de frustrare și neputință generat de imposibilitatea de a participa la ceremonia de înmormântare a părinților săi.</w:t>
      </w:r>
    </w:p>
    <w:p w14:paraId="2C364DF7" w14:textId="77777777" w:rsidR="00ED11C0" w:rsidRPr="00250C7F" w:rsidRDefault="00ED11C0" w:rsidP="00ED11C0">
      <w:pPr>
        <w:widowControl w:val="0"/>
        <w:shd w:val="clear" w:color="auto" w:fill="FFFFFF"/>
        <w:tabs>
          <w:tab w:val="left" w:pos="8370"/>
        </w:tabs>
        <w:autoSpaceDE w:val="0"/>
        <w:autoSpaceDN w:val="0"/>
        <w:adjustRightInd w:val="0"/>
        <w:spacing w:after="0" w:line="276" w:lineRule="auto"/>
        <w:ind w:firstLine="653"/>
        <w:jc w:val="both"/>
        <w:rPr>
          <w:rFonts w:ascii="Times New Roman" w:eastAsia="Calibri" w:hAnsi="Times New Roman" w:cs="Times New Roman"/>
          <w:spacing w:val="-7"/>
          <w:sz w:val="24"/>
          <w:szCs w:val="24"/>
        </w:rPr>
      </w:pPr>
      <w:r w:rsidRPr="00250C7F">
        <w:rPr>
          <w:rFonts w:ascii="Times New Roman" w:eastAsia="Calibri" w:hAnsi="Times New Roman" w:cs="Times New Roman"/>
          <w:spacing w:val="-7"/>
          <w:sz w:val="24"/>
          <w:szCs w:val="24"/>
        </w:rPr>
        <w:t>Din acest punct de vedere, se reţine că în aprecierea condiţiilor pentru care reclamantului nu i s-a acordat permisiunea participării la înmormântarea părinților săi, Comisia constituită în cadrul penitenciarului, în baza cadrului legal reprezentat de art. 98 şi art. 99 din Legea nr. 254/2013, s-a raportat la o serie de criterii pe care  le-a considerat ca nefiind întrunite în persoana deţinutului.</w:t>
      </w:r>
    </w:p>
    <w:p w14:paraId="3A59B959" w14:textId="77777777" w:rsidR="00ED11C0" w:rsidRPr="00250C7F" w:rsidRDefault="00ED11C0" w:rsidP="00ED11C0">
      <w:pPr>
        <w:widowControl w:val="0"/>
        <w:shd w:val="clear" w:color="auto" w:fill="FFFFFF"/>
        <w:tabs>
          <w:tab w:val="left" w:pos="8370"/>
        </w:tabs>
        <w:autoSpaceDE w:val="0"/>
        <w:autoSpaceDN w:val="0"/>
        <w:adjustRightInd w:val="0"/>
        <w:spacing w:after="0" w:line="276" w:lineRule="auto"/>
        <w:ind w:firstLine="653"/>
        <w:jc w:val="both"/>
        <w:rPr>
          <w:rFonts w:ascii="Times New Roman" w:eastAsia="Calibri" w:hAnsi="Times New Roman" w:cs="Times New Roman"/>
          <w:spacing w:val="-7"/>
          <w:sz w:val="24"/>
          <w:szCs w:val="24"/>
        </w:rPr>
      </w:pPr>
      <w:r w:rsidRPr="00250C7F">
        <w:rPr>
          <w:rFonts w:ascii="Times New Roman" w:eastAsia="Calibri" w:hAnsi="Times New Roman" w:cs="Times New Roman"/>
          <w:spacing w:val="-7"/>
          <w:sz w:val="24"/>
          <w:szCs w:val="24"/>
        </w:rPr>
        <w:t xml:space="preserve">Nu în ultimul rând, se observă prevederile art. 11 din H.G. nr. 756/2016, precum şi ale </w:t>
      </w:r>
      <w:r w:rsidRPr="00250C7F">
        <w:rPr>
          <w:rFonts w:ascii="Times New Roman" w:eastAsia="Calibri" w:hAnsi="Times New Roman" w:cs="Times New Roman"/>
          <w:spacing w:val="-7"/>
          <w:sz w:val="24"/>
          <w:szCs w:val="24"/>
        </w:rPr>
        <w:lastRenderedPageBreak/>
        <w:t>Regulamentului de organizare şi funcţionare a unităţilor penitenciare, aprobat prin Decizia Directorului general al ANP - art. 1 alin. (1) şi (2), potrivit cărora penitenciarele sunt unităţi care asigură executarea pedepselor privative de libertate şi a măsurii arestării preventive, în condiţii în care garantează respectarea demnităţii umane, facilitând responsabilizarea şi reintegrarea în societate a persoanelor private de libertate şi contribuind la creşterea gradului de siguranţă a comunităţii, menţinerea ordinii publice şi securităţii naţionale.</w:t>
      </w:r>
    </w:p>
    <w:p w14:paraId="1F286326" w14:textId="77777777" w:rsidR="00ED11C0" w:rsidRPr="00250C7F" w:rsidRDefault="00ED11C0" w:rsidP="00ED11C0">
      <w:pPr>
        <w:shd w:val="clear" w:color="auto" w:fill="FFFFFF"/>
        <w:spacing w:after="0" w:line="276" w:lineRule="auto"/>
        <w:ind w:firstLine="720"/>
        <w:jc w:val="both"/>
        <w:rPr>
          <w:rFonts w:ascii="Times New Roman" w:eastAsia="Times New Roman" w:hAnsi="Times New Roman" w:cs="Times New Roman"/>
          <w:color w:val="000000"/>
          <w:sz w:val="24"/>
          <w:szCs w:val="24"/>
        </w:rPr>
      </w:pPr>
      <w:r w:rsidRPr="00250C7F">
        <w:rPr>
          <w:rFonts w:ascii="Times New Roman" w:eastAsia="Times New Roman" w:hAnsi="Times New Roman" w:cs="Times New Roman"/>
          <w:color w:val="000000"/>
          <w:sz w:val="24"/>
          <w:szCs w:val="24"/>
        </w:rPr>
        <w:t>Astfel, dând eficienţă criteriul general evocat de C.E.D.O. potrivit cu care despăgubirile trebuie să prezinte un raport rezonabil de proporționalitate cu atingerea adusă victimei, având în vedere gradul de lezare a valorilor sociale ocrotite, intensitatea și gravitatea atingerii aduse acestora, reţinând criteriile jurisprudenţiale de evaluare a daunelor morale, instanţa a apreciat că suma de 10.000 lei poate acoperi prejudicial moral suferit de reclamant.</w:t>
      </w:r>
    </w:p>
    <w:p w14:paraId="6B707E25" w14:textId="77777777" w:rsidR="00ED11C0" w:rsidRPr="00250C7F" w:rsidRDefault="00ED11C0" w:rsidP="00ED11C0">
      <w:pPr>
        <w:shd w:val="clear" w:color="auto" w:fill="FFFFFF"/>
        <w:spacing w:after="0" w:line="276" w:lineRule="auto"/>
        <w:ind w:firstLine="720"/>
        <w:jc w:val="both"/>
        <w:rPr>
          <w:rFonts w:ascii="Times New Roman" w:eastAsia="Times New Roman" w:hAnsi="Times New Roman" w:cs="Times New Roman"/>
          <w:color w:val="000000"/>
          <w:sz w:val="24"/>
          <w:szCs w:val="24"/>
        </w:rPr>
      </w:pPr>
      <w:r w:rsidRPr="00250C7F">
        <w:rPr>
          <w:rFonts w:ascii="Times New Roman" w:eastAsia="Times New Roman" w:hAnsi="Times New Roman" w:cs="Times New Roman"/>
          <w:color w:val="000000"/>
          <w:sz w:val="24"/>
          <w:szCs w:val="24"/>
        </w:rPr>
        <w:t>În situația daunelor morale, datorită naturii lor nepatrimoniale, o evaluare exactă a acestora în bani nu este posibilă, întinderea despăgubirilor realizându-se prin raportare la elemente de fapt relevante în concret, apreciate în complexitatea lor.</w:t>
      </w:r>
    </w:p>
    <w:p w14:paraId="55A44D5F" w14:textId="77777777" w:rsidR="00ED11C0" w:rsidRPr="00250C7F" w:rsidRDefault="00ED11C0" w:rsidP="00ED11C0">
      <w:pPr>
        <w:shd w:val="clear" w:color="auto" w:fill="FFFFFF"/>
        <w:spacing w:after="0" w:line="276" w:lineRule="auto"/>
        <w:ind w:firstLine="720"/>
        <w:jc w:val="both"/>
        <w:rPr>
          <w:rFonts w:ascii="Times New Roman" w:eastAsia="Times New Roman" w:hAnsi="Times New Roman" w:cs="Times New Roman"/>
          <w:color w:val="000000"/>
          <w:sz w:val="24"/>
          <w:szCs w:val="24"/>
        </w:rPr>
      </w:pPr>
      <w:r w:rsidRPr="00250C7F">
        <w:rPr>
          <w:rFonts w:ascii="Times New Roman" w:eastAsia="Times New Roman" w:hAnsi="Times New Roman" w:cs="Times New Roman"/>
          <w:color w:val="000000"/>
          <w:sz w:val="24"/>
          <w:szCs w:val="24"/>
        </w:rPr>
        <w:t>Este, aşadar, necesar ca despăgubirea să compenseze prejudicial creat şi să aducă acea satisfacție de ordin moral celui vătămat.</w:t>
      </w:r>
    </w:p>
    <w:p w14:paraId="1B392023" w14:textId="5A867C72"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Pentru considerentele expuse, în temeiul art. 496 alin.  (1) din Codul de procedură civilă, Înalta Curte a respins ca nefondat recursul declarat de pârâtul Penitenciarul Bucureşti Rahova împotriva deciziei nr. 776/2020, pronunţată de Curtea de Apel Bacău - Secţia I civilă.</w:t>
      </w:r>
    </w:p>
    <w:p w14:paraId="6278A17F" w14:textId="68CEFF0C" w:rsidR="00ED11C0" w:rsidRPr="00250C7F" w:rsidRDefault="00ED11C0"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p>
    <w:p w14:paraId="681B6A04" w14:textId="77777777" w:rsidR="00581DC1" w:rsidRPr="00250C7F" w:rsidRDefault="00581DC1" w:rsidP="00ED11C0">
      <w:pPr>
        <w:widowControl w:val="0"/>
        <w:autoSpaceDE w:val="0"/>
        <w:autoSpaceDN w:val="0"/>
        <w:adjustRightInd w:val="0"/>
        <w:spacing w:after="0" w:line="276" w:lineRule="auto"/>
        <w:ind w:firstLine="720"/>
        <w:jc w:val="both"/>
        <w:rPr>
          <w:rFonts w:ascii="Times New Roman" w:eastAsia="Calibri" w:hAnsi="Times New Roman" w:cs="Times New Roman"/>
          <w:iCs/>
          <w:color w:val="000000"/>
          <w:sz w:val="24"/>
          <w:szCs w:val="24"/>
        </w:rPr>
      </w:pPr>
    </w:p>
    <w:p w14:paraId="3377E3B0" w14:textId="2CA34612" w:rsidR="00ED11C0" w:rsidRPr="00250C7F" w:rsidRDefault="00ED11C0" w:rsidP="00332ED0">
      <w:pPr>
        <w:pStyle w:val="Heading3"/>
        <w:spacing w:before="0" w:line="276" w:lineRule="auto"/>
        <w:jc w:val="both"/>
        <w:rPr>
          <w:rFonts w:ascii="Times New Roman" w:eastAsia="Calibri" w:hAnsi="Times New Roman" w:cs="Times New Roman"/>
          <w:b/>
          <w:iCs/>
          <w:color w:val="000000"/>
        </w:rPr>
      </w:pPr>
      <w:bookmarkStart w:id="12" w:name="_Toc84584802"/>
      <w:r w:rsidRPr="00250C7F">
        <w:rPr>
          <w:rFonts w:ascii="Times New Roman" w:eastAsia="Calibri" w:hAnsi="Times New Roman" w:cs="Times New Roman"/>
          <w:b/>
          <w:bCs/>
          <w:iCs/>
          <w:color w:val="000000"/>
        </w:rPr>
        <w:t>2.</w:t>
      </w:r>
      <w:r w:rsidRPr="00250C7F">
        <w:rPr>
          <w:rFonts w:ascii="Times New Roman" w:eastAsia="Calibri" w:hAnsi="Times New Roman" w:cs="Times New Roman"/>
          <w:iCs/>
          <w:color w:val="000000"/>
        </w:rPr>
        <w:t xml:space="preserve"> </w:t>
      </w:r>
      <w:r w:rsidRPr="00250C7F">
        <w:rPr>
          <w:rFonts w:ascii="Times New Roman" w:eastAsia="Calibri" w:hAnsi="Times New Roman" w:cs="Times New Roman"/>
          <w:b/>
          <w:iCs/>
          <w:color w:val="000000"/>
        </w:rPr>
        <w:t>Mandat european de arestare. Invocarea caracterului nelegal al măsurii arestării pe teritoriul României. Acţiune în despăgubiri. Inexistenţa faptei ilicite. Neîndeplinirea condiţiilor răspunderii civile delictuale</w:t>
      </w:r>
      <w:bookmarkEnd w:id="12"/>
    </w:p>
    <w:p w14:paraId="19957B23" w14:textId="77777777" w:rsidR="00332ED0" w:rsidRPr="00250C7F" w:rsidRDefault="00332ED0" w:rsidP="00ED11C0">
      <w:pPr>
        <w:widowControl w:val="0"/>
        <w:autoSpaceDE w:val="0"/>
        <w:autoSpaceDN w:val="0"/>
        <w:adjustRightInd w:val="0"/>
        <w:spacing w:after="0" w:line="276" w:lineRule="auto"/>
        <w:jc w:val="right"/>
        <w:rPr>
          <w:rFonts w:ascii="Times New Roman" w:eastAsia="Calibri" w:hAnsi="Times New Roman" w:cs="Times New Roman"/>
          <w:iCs/>
          <w:color w:val="000000"/>
          <w:sz w:val="24"/>
          <w:szCs w:val="24"/>
        </w:rPr>
      </w:pPr>
    </w:p>
    <w:p w14:paraId="0A618E01" w14:textId="4584FAC7" w:rsidR="00ED11C0" w:rsidRPr="00250C7F" w:rsidRDefault="00ED11C0" w:rsidP="00ED11C0">
      <w:pPr>
        <w:widowControl w:val="0"/>
        <w:autoSpaceDE w:val="0"/>
        <w:autoSpaceDN w:val="0"/>
        <w:adjustRightInd w:val="0"/>
        <w:spacing w:after="0" w:line="276" w:lineRule="auto"/>
        <w:jc w:val="right"/>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Legea nr. 302/2004, art. 84, art. 99, art. 102 – 104</w:t>
      </w:r>
    </w:p>
    <w:p w14:paraId="5B9169B2" w14:textId="77777777" w:rsidR="00ED11C0" w:rsidRPr="00250C7F" w:rsidRDefault="00ED11C0" w:rsidP="00ED11C0">
      <w:pPr>
        <w:widowControl w:val="0"/>
        <w:autoSpaceDE w:val="0"/>
        <w:autoSpaceDN w:val="0"/>
        <w:adjustRightInd w:val="0"/>
        <w:spacing w:after="0" w:line="276" w:lineRule="auto"/>
        <w:jc w:val="right"/>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 xml:space="preserve">                                                                                 C.civ., art. 1349, art. 1347</w:t>
      </w:r>
    </w:p>
    <w:p w14:paraId="766E3F6A" w14:textId="7C3B4212" w:rsidR="00ED11C0" w:rsidRPr="00250C7F" w:rsidRDefault="00ED11C0" w:rsidP="00ED11C0">
      <w:pPr>
        <w:widowControl w:val="0"/>
        <w:autoSpaceDE w:val="0"/>
        <w:autoSpaceDN w:val="0"/>
        <w:adjustRightInd w:val="0"/>
        <w:spacing w:after="0" w:line="276" w:lineRule="auto"/>
        <w:jc w:val="right"/>
        <w:rPr>
          <w:rFonts w:ascii="Times New Roman" w:eastAsia="Calibri" w:hAnsi="Times New Roman" w:cs="Times New Roman"/>
          <w:iCs/>
          <w:color w:val="000000"/>
          <w:sz w:val="24"/>
          <w:szCs w:val="24"/>
        </w:rPr>
      </w:pPr>
      <w:r w:rsidRPr="00250C7F">
        <w:rPr>
          <w:rFonts w:ascii="Times New Roman" w:eastAsia="Calibri" w:hAnsi="Times New Roman" w:cs="Times New Roman"/>
          <w:iCs/>
          <w:color w:val="000000"/>
          <w:sz w:val="24"/>
          <w:szCs w:val="24"/>
        </w:rPr>
        <w:t xml:space="preserve">                                                                                 CEDO, art. 5</w:t>
      </w:r>
    </w:p>
    <w:p w14:paraId="0862A2A1" w14:textId="4B05B827" w:rsidR="00ED11C0" w:rsidRPr="00250C7F" w:rsidRDefault="00ED11C0" w:rsidP="00ED11C0">
      <w:pPr>
        <w:widowControl w:val="0"/>
        <w:autoSpaceDE w:val="0"/>
        <w:autoSpaceDN w:val="0"/>
        <w:adjustRightInd w:val="0"/>
        <w:spacing w:after="0" w:line="276" w:lineRule="auto"/>
        <w:jc w:val="right"/>
        <w:rPr>
          <w:rFonts w:ascii="Times New Roman" w:eastAsia="Calibri" w:hAnsi="Times New Roman" w:cs="Times New Roman"/>
          <w:iCs/>
          <w:color w:val="000000"/>
          <w:sz w:val="24"/>
          <w:szCs w:val="24"/>
        </w:rPr>
      </w:pPr>
    </w:p>
    <w:p w14:paraId="10C82089" w14:textId="77777777" w:rsidR="00ED11C0" w:rsidRPr="00250C7F" w:rsidRDefault="00ED11C0" w:rsidP="00ED11C0">
      <w:pPr>
        <w:spacing w:after="0" w:line="276" w:lineRule="auto"/>
        <w:ind w:firstLine="720"/>
        <w:jc w:val="both"/>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i/>
          <w:sz w:val="24"/>
          <w:szCs w:val="24"/>
          <w:lang w:eastAsia="ro-RO"/>
        </w:rPr>
        <w:t>Din examinarea dispozițiilor art. 84, art. 99, art. 102, art. 103 și art. 104 din Legea nr. 302/2004 privitoare la punerea în executare a mandatului european de arestare rezultă că judecătorul român hotărăște asupra arestării și predării persoanei solicitate după ce a verificat, în prealabil, dacă au fost respectate condițiile de formă referitoare la emiterea mandatului, neputându-se pronunța cu privire la temeinicia urmăririi sau la oportunitatea arestării, decât cu atingerea principiului referitor la recunoașterea hotărârilor penale, ceea ce nu este admisibil.</w:t>
      </w:r>
    </w:p>
    <w:p w14:paraId="6894F205" w14:textId="77777777" w:rsidR="00ED11C0" w:rsidRPr="00250C7F" w:rsidRDefault="00ED11C0" w:rsidP="00ED11C0">
      <w:pPr>
        <w:spacing w:after="0" w:line="276" w:lineRule="auto"/>
        <w:ind w:firstLine="720"/>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i/>
          <w:sz w:val="24"/>
          <w:szCs w:val="24"/>
          <w:lang w:eastAsia="ro-RO"/>
        </w:rPr>
        <w:t xml:space="preserve">Împrejurarea că ulterior arestării  provizorii a reclamantului pe teritoriul României în vederea predării autorităţilor emitente ale mandatului european de arestare, acesta a fost pus în libertate de judecătorul de instrucţie din statul solicitant, nu poate conduce la reţinerea nelegalităţii măsurii dispuse prin hotărâre judecătorească, instanţa penală solicitată neavând competenţa de a verifica temeinicia soluţiei dispuse de autoritatea judiciară străină, astfel încât prejudiciul invocat </w:t>
      </w:r>
      <w:r w:rsidRPr="00250C7F">
        <w:rPr>
          <w:rFonts w:ascii="Times New Roman" w:eastAsia="Times New Roman" w:hAnsi="Times New Roman" w:cs="Times New Roman"/>
          <w:bCs/>
          <w:i/>
          <w:sz w:val="24"/>
          <w:szCs w:val="24"/>
          <w:lang w:eastAsia="ro-RO"/>
        </w:rPr>
        <w:t>nu este în legătură cu vreo faptă ilicită imputabilă Statului Român.</w:t>
      </w:r>
    </w:p>
    <w:p w14:paraId="3515AA3F" w14:textId="068A3064" w:rsidR="00ED11C0" w:rsidRPr="00250C7F" w:rsidRDefault="00ED11C0" w:rsidP="00ED11C0">
      <w:pPr>
        <w:spacing w:after="0" w:line="276" w:lineRule="auto"/>
        <w:jc w:val="both"/>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i/>
          <w:sz w:val="24"/>
          <w:szCs w:val="24"/>
          <w:lang w:eastAsia="ro-RO"/>
        </w:rPr>
        <w:t xml:space="preserve">             Ca atare, faţă de prevederile din Legea nr. 302/2004 care definesc procedura mandatului european de arestare, nu se poate reţine în sarcina autorităţilor române săvârşirea unei erori judiciare în privinţa reclamantului cu ocazia instrumentării procedurii executării mandatului </w:t>
      </w:r>
      <w:r w:rsidRPr="00250C7F">
        <w:rPr>
          <w:rFonts w:ascii="Times New Roman" w:eastAsia="Times New Roman" w:hAnsi="Times New Roman" w:cs="Times New Roman"/>
          <w:i/>
          <w:sz w:val="24"/>
          <w:szCs w:val="24"/>
          <w:lang w:eastAsia="ro-RO"/>
        </w:rPr>
        <w:lastRenderedPageBreak/>
        <w:t>european de arestare emis, pe numele său, iar în absenţa faptei ilicite răspunderea civilă delic</w:t>
      </w:r>
      <w:r w:rsidR="002C6B64">
        <w:rPr>
          <w:rFonts w:ascii="Times New Roman" w:eastAsia="Times New Roman" w:hAnsi="Times New Roman" w:cs="Times New Roman"/>
          <w:i/>
          <w:sz w:val="24"/>
          <w:szCs w:val="24"/>
          <w:lang w:eastAsia="ro-RO"/>
        </w:rPr>
        <w:t>tuală a Statului nu poate fi an</w:t>
      </w:r>
      <w:r w:rsidRPr="00250C7F">
        <w:rPr>
          <w:rFonts w:ascii="Times New Roman" w:eastAsia="Times New Roman" w:hAnsi="Times New Roman" w:cs="Times New Roman"/>
          <w:i/>
          <w:sz w:val="24"/>
          <w:szCs w:val="24"/>
          <w:lang w:eastAsia="ro-RO"/>
        </w:rPr>
        <w:t>gajată, în baza art. 1349 şi art. 1347 din Codul civil  pentru acoperirea prejudiciului pretins de către reclamant.</w:t>
      </w:r>
    </w:p>
    <w:p w14:paraId="1B30F31A" w14:textId="77777777" w:rsidR="00ED11C0" w:rsidRPr="00250C7F" w:rsidRDefault="00ED11C0" w:rsidP="00ED11C0">
      <w:pPr>
        <w:spacing w:after="0" w:line="276" w:lineRule="auto"/>
        <w:rPr>
          <w:rFonts w:ascii="Times New Roman" w:eastAsia="Times New Roman" w:hAnsi="Times New Roman" w:cs="Times New Roman"/>
          <w:b/>
          <w:sz w:val="24"/>
          <w:szCs w:val="24"/>
          <w:lang w:eastAsia="ro-RO"/>
        </w:rPr>
      </w:pPr>
    </w:p>
    <w:p w14:paraId="3FEAF979" w14:textId="77777777" w:rsidR="00ED11C0" w:rsidRPr="00250C7F" w:rsidRDefault="00ED11C0" w:rsidP="00ED11C0">
      <w:pPr>
        <w:spacing w:after="0" w:line="276" w:lineRule="auto"/>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I.C.C.J., Secţia I civilă, decizia nr. 212 din 4 februarie 2021</w:t>
      </w:r>
    </w:p>
    <w:p w14:paraId="3471664F" w14:textId="77777777" w:rsidR="00ED11C0" w:rsidRPr="00250C7F" w:rsidRDefault="00ED11C0" w:rsidP="00ED11C0">
      <w:pPr>
        <w:spacing w:after="0" w:line="276" w:lineRule="auto"/>
        <w:rPr>
          <w:rFonts w:ascii="Times New Roman" w:eastAsia="Times New Roman" w:hAnsi="Times New Roman" w:cs="Times New Roman"/>
          <w:sz w:val="24"/>
          <w:szCs w:val="24"/>
          <w:lang w:eastAsia="ro-RO"/>
        </w:rPr>
      </w:pPr>
    </w:p>
    <w:p w14:paraId="7D6EA5E2" w14:textId="16363304" w:rsidR="00ED11C0" w:rsidRPr="00250C7F" w:rsidRDefault="00ED11C0" w:rsidP="00ED11C0">
      <w:pPr>
        <w:spacing w:after="0" w:line="276" w:lineRule="auto"/>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ab/>
        <w:t>I. Circumstanţele cauzei</w:t>
      </w:r>
    </w:p>
    <w:p w14:paraId="18DED05B" w14:textId="384FD009" w:rsidR="00ED11C0" w:rsidRPr="00250C7F" w:rsidRDefault="00ED11C0" w:rsidP="00ED11C0">
      <w:pPr>
        <w:spacing w:after="0" w:line="276" w:lineRule="auto"/>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ab/>
        <w:t>1. Obiectul cererii de chemare în judecată:</w:t>
      </w:r>
    </w:p>
    <w:p w14:paraId="36EBF346" w14:textId="77777777" w:rsidR="00ED11C0" w:rsidRPr="00250C7F" w:rsidRDefault="00ED11C0" w:rsidP="00ED11C0">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b/>
          <w:sz w:val="24"/>
          <w:szCs w:val="24"/>
          <w:lang w:eastAsia="ro-RO"/>
        </w:rPr>
        <w:tab/>
      </w:r>
      <w:r w:rsidRPr="00250C7F">
        <w:rPr>
          <w:rFonts w:ascii="Times New Roman" w:eastAsia="Times New Roman" w:hAnsi="Times New Roman" w:cs="Times New Roman"/>
          <w:sz w:val="24"/>
          <w:szCs w:val="24"/>
          <w:lang w:eastAsia="ro-RO"/>
        </w:rPr>
        <w:t>Prin cererea de chemare în judecată, înregistrată la data de 12.04.2019, pe rolul Tribunalului Vaslui, reclamantul A. în contradictoriu cu pârâtul Statul Român, prin Ministerul Finanţelor Publice, a solicitat ca prin hotărârea ce se va pronunţa să se dispună obligarea Statului Român, prin Ministerul Finanţelor Publice la plata sumei de 100.000 euro, cu titlu de daune morale în echivalent în lei, calculată la data plăţii efective, pentru privarea nelegală de libertate în perioada 08.05.2018-23.05.2018; precum şi obligarea la plata cheltuielilor de judecată.</w:t>
      </w:r>
    </w:p>
    <w:p w14:paraId="14E09175" w14:textId="5A3D266D" w:rsidR="00ED11C0" w:rsidRPr="00250C7F" w:rsidRDefault="00ED11C0" w:rsidP="00ED11C0">
      <w:pPr>
        <w:pStyle w:val="ListParagraph"/>
        <w:numPr>
          <w:ilvl w:val="0"/>
          <w:numId w:val="38"/>
        </w:numPr>
        <w:spacing w:line="276" w:lineRule="auto"/>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Hotărârea pronunţată în primă instanţă de tribunal:</w:t>
      </w:r>
    </w:p>
    <w:p w14:paraId="063904DB" w14:textId="77777777" w:rsidR="00ED11C0" w:rsidRPr="00250C7F" w:rsidRDefault="00ED11C0" w:rsidP="00ED11C0">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b/>
          <w:sz w:val="24"/>
          <w:szCs w:val="24"/>
          <w:lang w:eastAsia="ro-RO"/>
        </w:rPr>
        <w:tab/>
      </w:r>
      <w:r w:rsidRPr="00250C7F">
        <w:rPr>
          <w:rFonts w:ascii="Times New Roman" w:eastAsia="Times New Roman" w:hAnsi="Times New Roman" w:cs="Times New Roman"/>
          <w:sz w:val="24"/>
          <w:szCs w:val="24"/>
          <w:lang w:eastAsia="ro-RO"/>
        </w:rPr>
        <w:t>Prin sentinţa civilă nr. 88 din 28.01.2020 pronunţată de Tribunalul Vaslui - Secţia civilă s-a respins excepţia inadmisibilităţii acţiunii, invocată de pârâtul Statul Român prin Ministerul Finanţelor Publice. S-a respins acţiunea civilă formulată de reclamantul A. în contradictoriu cu pârâtul Statul Român prin Ministerul Finanţelor Publice.</w:t>
      </w:r>
    </w:p>
    <w:p w14:paraId="547C06BF" w14:textId="5CA36E88" w:rsidR="00ED11C0" w:rsidRPr="00250C7F" w:rsidRDefault="00ED11C0" w:rsidP="00ED11C0">
      <w:pPr>
        <w:pStyle w:val="ListParagraph"/>
        <w:numPr>
          <w:ilvl w:val="0"/>
          <w:numId w:val="38"/>
        </w:numPr>
        <w:spacing w:line="276" w:lineRule="auto"/>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Hotărârea pronunţată în apel de curtea de apel:</w:t>
      </w:r>
    </w:p>
    <w:p w14:paraId="351BA847"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Împotriva acestei sentinţe a formulat apel A.</w:t>
      </w:r>
    </w:p>
    <w:p w14:paraId="01136BF0"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decizia nr.382 din 10.09.2020, Curtea de Apel Iaşi, Secţia civilă a respins apelul formulat de apelantul A. împotriva sentinţei civile nr. 88 din 28.01.2020, pronunţată de Tribunalul Vaslui - Secţia civilă, sentinţă pe care o păstrează.</w:t>
      </w:r>
    </w:p>
    <w:p w14:paraId="612075E1" w14:textId="709A86E1" w:rsidR="00ED11C0" w:rsidRPr="00250C7F" w:rsidRDefault="00ED11C0" w:rsidP="00ED11C0">
      <w:pPr>
        <w:pStyle w:val="ListParagraph"/>
        <w:numPr>
          <w:ilvl w:val="0"/>
          <w:numId w:val="38"/>
        </w:numPr>
        <w:spacing w:line="276" w:lineRule="auto"/>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Calea de atac formulată în cauză:</w:t>
      </w:r>
    </w:p>
    <w:p w14:paraId="35573293"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Împotriva acestei hotărâri a declarat recurs reclamantul A., care, după prezentarea istoricului speţei şi a situaţiei de fapt, a arătat că instanţa de apel în mod greşit a respins apelul, motivând faptul că în procedura mandatului european de arestare, autorităţile române nu aveau competenţa de a verifica temeinicia soluţiei dispuse de autoritatea judiciară emitentă dintr-un stat membru al Uniunii Europene şi nici asupra oportunităţii mandatului european de arestare şi considerând că nu există întrunite condiţiile antrenării răspunderii civile delictuale.</w:t>
      </w:r>
    </w:p>
    <w:p w14:paraId="6D3BFDAD"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Apreciază că în cauză au fost încălcate dispoziţiile art. 1349 alin. 1 şi art. 1347 Cod civil şi disp. art. 104 pct. 12 din Legea nr. 302/2004, actualizată, motivul de recurs încadrându-se în dispoziţiile art.488 pct.8 Cod procedură civilă.</w:t>
      </w:r>
    </w:p>
    <w:p w14:paraId="317FD29B"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Susţine recurentul că, deşi a arătat Curţii de Apel Iaşi faptul că la momentul pretinselor fapte pentru care s-a emis mandatul european de arestare era pe teritoriul elveţian, fiind încarcerat, şi că se impunea emiterea unei adrese de cazier pentru Elveţia pentru a fi efectuate verificări în acest sens, instanţa a ignorat aceste aspecte, deşi trebuia să facă verificări în acest sens şi să solicite informaţii sau garanţii suplimentare autorităţilor judiciare străine emitente, în conformitate cu disp. art. 104 pct. 12 din Legea nr. 302/2004.</w:t>
      </w:r>
    </w:p>
    <w:p w14:paraId="0FBF486C"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Recurentul arată că prin sentinţa penală nr. 34/FCJI/2018 din 15.05.2018 s-a dispus predarea reclamantului, menţinându-se arestarea acestuia, deşi, audiat fiind de către judecătorul Curţii de Apel </w:t>
      </w:r>
      <w:r w:rsidRPr="00250C7F">
        <w:rPr>
          <w:rFonts w:ascii="Times New Roman" w:eastAsia="Times New Roman" w:hAnsi="Times New Roman" w:cs="Times New Roman"/>
          <w:color w:val="FF0000"/>
          <w:sz w:val="24"/>
          <w:szCs w:val="24"/>
          <w:lang w:eastAsia="ro-RO"/>
        </w:rPr>
        <w:t>I</w:t>
      </w:r>
      <w:r w:rsidRPr="00250C7F">
        <w:rPr>
          <w:rFonts w:ascii="Times New Roman" w:eastAsia="Times New Roman" w:hAnsi="Times New Roman" w:cs="Times New Roman"/>
          <w:sz w:val="24"/>
          <w:szCs w:val="24"/>
          <w:lang w:eastAsia="ro-RO"/>
        </w:rPr>
        <w:t xml:space="preserve">aşi, arătase că la momentul pretinselor fapte era arestat în Elveţia motiv pentru </w:t>
      </w:r>
      <w:r w:rsidRPr="00250C7F">
        <w:rPr>
          <w:rFonts w:ascii="Times New Roman" w:eastAsia="Times New Roman" w:hAnsi="Times New Roman" w:cs="Times New Roman"/>
          <w:sz w:val="24"/>
          <w:szCs w:val="24"/>
          <w:lang w:eastAsia="ro-RO"/>
        </w:rPr>
        <w:lastRenderedPageBreak/>
        <w:t>care, anterior, solicitase eliberarea unui cazier judiciar din Elveţia şi nu s-au efectuat verificările care se impuneau pentru ca reclamantul să nu fie privat de libertate în mod nelegal.</w:t>
      </w:r>
    </w:p>
    <w:p w14:paraId="384A0EFB"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Apreciază că aceste verificări se impuneau în cauză, întrucât chiar în procedura executării unui mandat european de arestare trebuie respectate drepturile fundamentale ale omului inclusiv dreptul la libertate, precum şi dreptul la un proces echitabil, invocând în acest sens jurisprudenţa C.E.D.O. cum ar fi hotărârea din 7 iulie 1989, pronunţată în </w:t>
      </w:r>
      <w:r w:rsidRPr="00250C7F">
        <w:rPr>
          <w:rFonts w:ascii="Times New Roman" w:eastAsia="Times New Roman" w:hAnsi="Times New Roman" w:cs="Times New Roman"/>
          <w:i/>
          <w:sz w:val="24"/>
          <w:szCs w:val="24"/>
          <w:lang w:eastAsia="ro-RO"/>
        </w:rPr>
        <w:t>Cauza Soering împotriva Regatului Unit</w:t>
      </w:r>
      <w:r w:rsidRPr="00250C7F">
        <w:rPr>
          <w:rFonts w:ascii="Times New Roman" w:eastAsia="Times New Roman" w:hAnsi="Times New Roman" w:cs="Times New Roman"/>
          <w:sz w:val="24"/>
          <w:szCs w:val="24"/>
          <w:lang w:eastAsia="ro-RO"/>
        </w:rPr>
        <w:t xml:space="preserve">. </w:t>
      </w:r>
    </w:p>
    <w:p w14:paraId="4B56E78A" w14:textId="43E4C542" w:rsidR="00ED11C0" w:rsidRPr="00250C7F" w:rsidRDefault="00ED11C0" w:rsidP="003D13CB">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Cât priveşte ordonanţa prin care s-a decis neurmărirea penală în favo</w:t>
      </w:r>
      <w:r w:rsidR="003D13CB" w:rsidRPr="00250C7F">
        <w:rPr>
          <w:rFonts w:ascii="Times New Roman" w:eastAsia="Times New Roman" w:hAnsi="Times New Roman" w:cs="Times New Roman"/>
          <w:sz w:val="24"/>
          <w:szCs w:val="24"/>
          <w:lang w:eastAsia="ro-RO"/>
        </w:rPr>
        <w:t xml:space="preserve">area sa din data de 12.10.2018 </w:t>
      </w:r>
      <w:r w:rsidRPr="00250C7F">
        <w:rPr>
          <w:rFonts w:ascii="Times New Roman" w:eastAsia="Times New Roman" w:hAnsi="Times New Roman" w:cs="Times New Roman"/>
          <w:sz w:val="24"/>
          <w:szCs w:val="24"/>
          <w:lang w:eastAsia="ro-RO"/>
        </w:rPr>
        <w:t xml:space="preserve">pronunţată în dosarul cu nr. x/14/CD al Camerei Consiliului Tribunalului Districtual din Luxemburg, aceasta deşi intitulată </w:t>
      </w:r>
      <w:r w:rsidRPr="00250C7F">
        <w:rPr>
          <w:rFonts w:ascii="Times New Roman" w:eastAsia="Times New Roman" w:hAnsi="Times New Roman" w:cs="Times New Roman"/>
          <w:i/>
          <w:sz w:val="24"/>
          <w:szCs w:val="24"/>
          <w:lang w:eastAsia="ro-RO"/>
        </w:rPr>
        <w:t>ordonanţă</w:t>
      </w:r>
      <w:r w:rsidRPr="00250C7F">
        <w:rPr>
          <w:rFonts w:ascii="Times New Roman" w:eastAsia="Times New Roman" w:hAnsi="Times New Roman" w:cs="Times New Roman"/>
          <w:sz w:val="24"/>
          <w:szCs w:val="24"/>
          <w:lang w:eastAsia="ro-RO"/>
        </w:rPr>
        <w:t>, fiind pronunţată în complet de judecători reprezintă echivalentul unei hotărâri judecătoreşti, în cuprinsul căreia se statuează faptul că la momentul presupuselor fapte se afla în altă parte, astfel că, în mod evident arestarea sa a avut un caracter nelegal.</w:t>
      </w:r>
    </w:p>
    <w:p w14:paraId="5FFD7CB6"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atare condiţii, arestarea sa are un caracter nelegal, întrucât s-a decis, cu caracter definitiv, faptul că se afla în cu totul altă parte decât la locul faptelor pentru care era acuzat şi nu s-a făcut vinovat de săvârşirea acestora, motiv pentru care în mod just s-a decis neînceperea urmăririi penale împotriva sa.</w:t>
      </w:r>
    </w:p>
    <w:p w14:paraId="1AA63B52"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Cât priveşte chestiunea vizând lipsa constatării caracterului nelegal al arestării precizează faptul că, atât timp cât nu se face vinovat de faptele pentru care a fost arestat prin ordonanţa Tribunalului din Luxemburg, pronunțându-se neînceperea urmăririi penale cu motivarea că la data presupuselor fapte era încarcerat în Elveţia, arestarea sa a fost lipsită de temei legal, existând o încălcare în sensul disp. art. 5 din CEDO.</w:t>
      </w:r>
    </w:p>
    <w:p w14:paraId="763E6D29"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Deoarece autorităţile române nu au făcut verificări şi nu au solicitat informații sau garanţii suplimentare autorităţilor judiciare străine emitente, au fost încălcate dispoziţiile art.104 pct.12 din Legea nr. 302/2004 şi astfel sunt întrunite condiţiile răspunderii civile delictuale conform disp. art. 1349 alin. 1 şi art. 1357 Cod civil.</w:t>
      </w:r>
    </w:p>
    <w:p w14:paraId="53EEBCD2"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Cât priveşte daunele morale pe care le solicită prin prezenta acţiune, arată că la momentul la care a fost reţinut şi arestat, având familie de întreţinut, era angajat cu forme legale, soţia reclamantului era bolnavă, fetiţa avea doar doi ani şi, ca urmare a faptului că a fost încarcerat, şi-a pierdut locul de muncă, fiindu-i astfel afectată atât viaţa sa, cât şi a familiei sale.</w:t>
      </w:r>
    </w:p>
    <w:p w14:paraId="08CEB91B"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De asemenea i-a fost afectată imaginea atât în familie, cât şi în societate, astfel că, în conformitate cu disp. art. 5 alin. 5 din CEDO are dreptul la reparaţii - daune morale, prejudiciul moral suferit fiind estimat la suma de 100.000 euro.</w:t>
      </w:r>
    </w:p>
    <w:p w14:paraId="7D9FFB19" w14:textId="4FADA946" w:rsidR="00ED11C0" w:rsidRPr="00250C7F" w:rsidRDefault="00ED11C0" w:rsidP="00ED11C0">
      <w:pPr>
        <w:pStyle w:val="ListParagraph"/>
        <w:numPr>
          <w:ilvl w:val="0"/>
          <w:numId w:val="38"/>
        </w:numPr>
        <w:spacing w:line="276" w:lineRule="auto"/>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Apărările formulate în cauză:</w:t>
      </w:r>
    </w:p>
    <w:p w14:paraId="7D70FA6B"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Intimatul Statul Român prin Ministerul Finanţelor Publice a depus la dosarul cauzei întâmpinare, solicitând respingerea recursului formulat de recurentul A., împotriva deciziei civile nr.382/2020 pronunţată de Curtea de Apel Iaşi în dosarul nr. 716/89/2019, condiţiile atragerii răspunderii civile în sarcina Statului Român nefiind îndeplinite întrucât nu orice atingere adusă drepturilor personale nepatrimoniale, inclusiv a dreptului la libertate, atrage răspunderea statului pe teritoriul căruia persoana a fost lipsită de libertate.</w:t>
      </w:r>
    </w:p>
    <w:p w14:paraId="7243E350"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Susţine că, în cauza dedusă judecăţii autoritatea judecătorească română chemată să execute un mandat european de arestare a hotărât asupra predării, dar nu s-a pronunţat cu privire la temeinicia măsurii preventive sau a hotărârii judecătoreşti pronunţate în statul solicitant. Contestarea temeiniciei acesteia, deci a hotărârii judecătoreşti pronunţate într-un stat membru al </w:t>
      </w:r>
      <w:r w:rsidRPr="00250C7F">
        <w:rPr>
          <w:rFonts w:ascii="Times New Roman" w:eastAsia="Times New Roman" w:hAnsi="Times New Roman" w:cs="Times New Roman"/>
          <w:sz w:val="24"/>
          <w:szCs w:val="24"/>
          <w:lang w:eastAsia="ro-RO"/>
        </w:rPr>
        <w:lastRenderedPageBreak/>
        <w:t>Uniunii Europene, se face în statul în care s-a emis hotărârea respectivă, unde persoana va beneficia de toate garanţiile procesuale existente.</w:t>
      </w:r>
    </w:p>
    <w:p w14:paraId="31746B6D"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Astfel, apărările recurentului-reclamant în cadrul procedurii de emitere a mandatului european de arestare nu puteau fi verificate de Curtea de Apel Iaşi, în cadrul acestei proceduri fiind analizate doar îndeplinirea condiţiilor de formă necesare pentru emiterea mandatului european de arestare.</w:t>
      </w:r>
    </w:p>
    <w:p w14:paraId="5A49F5B6"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urmare, nu poate fi reţinută vreo culpă a autorităţilor române cu privire la nerespectarea procedurii de executare a mandatului european de arestare, emis de autorităţile din Luxemburg pe numele reclamantului şi, în baza acestor considerente, opinează că instanţa de apel în mod corect a respins apelul ca nefondat şi a menţinut sentinţa civilă nr.88/2020 a Tribunalului Vaslui prin care s-a respins cererea de chemare în judecată formulată de recurent.</w:t>
      </w:r>
    </w:p>
    <w:p w14:paraId="62641B09" w14:textId="77777777" w:rsidR="00ED11C0" w:rsidRPr="00250C7F" w:rsidRDefault="00ED11C0" w:rsidP="00ED11C0">
      <w:pPr>
        <w:spacing w:after="0" w:line="276" w:lineRule="auto"/>
        <w:ind w:firstLine="720"/>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II. Soluţia şi considerentele Înaltei Curţi de Casaţie şi Justiţie</w:t>
      </w:r>
    </w:p>
    <w:p w14:paraId="356E12E5"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Examinând decizia recurată, prin prisma criticilor formulate şi prin raportare la actele şi lucrările dosarului şi la dispoziţiile legale aplicabile, Înalta Curte constată că recursul declarat este nefondat pentru considerentele ce urmează să fie expuse în continuare:</w:t>
      </w:r>
    </w:p>
    <w:p w14:paraId="5AD7A0E0"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Recurentul apreciază că în cauză au fost încălcate dispoziţiile art. 1349 alin. 1 şi art. 1347 Cod civil  prin raportare la art. 5 din CEDO şi dispoziţiile art. 104 pct. 12 din Legea nr. 302/2004, motivul de recurs încadrându-se în cazul de casare a unei hotărâri în calea de atac a recursului prevăzut de art.488 pct.8 Cod procedură civilă.</w:t>
      </w:r>
    </w:p>
    <w:p w14:paraId="1D43885F"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Situaţia de fapt, astfel cum a fost reţinută de către instanţele anterioare, necontestată de reclamant, a fost expusă în cuprinsul hotărârii atacate, reţinându-se că împotriva reclamantului-apelant a fost emis la 4.05.2018 de către autorităţile din Luxemburg un mandat european de arestare pentru  a fi cercetat pentru fapte presupus a fi fost săvârşite de reclamant în perioada octombrie 2013- aprilie 2014, la data de 8 mai 2018 reclamantul fiind reţinut de  Parchetul de pe lângă Curtea de Apel Iaşi, iar la 9 mai 2018 Curtea de Apel Iaşi dispunând arestarea provizorie a reclamantului în vederea predării acestuia autorităţilor emitente ale mandatului european de arestare.</w:t>
      </w:r>
    </w:p>
    <w:p w14:paraId="42D35391"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În analizarea cererii formulate de autorităţile din Luxemburg, Curtea de Apel </w:t>
      </w:r>
      <w:r w:rsidRPr="00250C7F">
        <w:rPr>
          <w:rFonts w:ascii="Times New Roman" w:eastAsia="Times New Roman" w:hAnsi="Times New Roman" w:cs="Times New Roman"/>
          <w:color w:val="FF0000"/>
          <w:sz w:val="24"/>
          <w:szCs w:val="24"/>
          <w:lang w:eastAsia="ro-RO"/>
        </w:rPr>
        <w:t>I</w:t>
      </w:r>
      <w:r w:rsidRPr="00250C7F">
        <w:rPr>
          <w:rFonts w:ascii="Times New Roman" w:eastAsia="Times New Roman" w:hAnsi="Times New Roman" w:cs="Times New Roman"/>
          <w:sz w:val="24"/>
          <w:szCs w:val="24"/>
          <w:lang w:eastAsia="ro-RO"/>
        </w:rPr>
        <w:t>aşi a reţinut că toate condiţiile privind predarea persoanei solicitate sunt îndeplinite, nu este incident niciunul dintre motivele de refuz de executare, ţinând seama de toate împrejurările cauzei şi de necesitatea executării mandatului european de arestare, în virtutea principiului recunoaşterii reciproce a deciziilor judiciare şi a încrederii reciproce între autorităţile judiciare pe care se fundamentează instituţia mandatului european, în conformitate cu dispoziţiile art.107 coroborat cu art.103 alin.6 şi 9 din Legea nr.302/2004.</w:t>
      </w:r>
    </w:p>
    <w:p w14:paraId="4039BE36"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Chiar dacă ulterior, la data de 1.06.2018, reclamantul a fost pus în libertate  de judecătorul de instrucţie din Luxemburg, contrar celor susţinute de recurentul-reclamant, din analiza dispoziţiilor art.103, 104 din Legea nr.302/2004, Înalta Curte constată că în mod corect s-a apreciat că instanţa română nu este abilitată să verifice apărările persoanei solicitate pe fondul cauzei, respectiv dacă se face vinovată sau nu de comiterea unor fapte penale, după cum nu are nici competenţa să se pronunţe cu privire la temeinicia urmăririi penale efectuate de către autoritatea judiciară emitentă sau cu privire la oportunitatea arestării persoanei solicitate.</w:t>
      </w:r>
    </w:p>
    <w:p w14:paraId="024303F9"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Astfel, potrivit art. 99 alin. 1 din Legea nr.302/2004, autoritatea judiciară română de executare este obligată să refuze executarea mandatului european de arestare în următoarele cazuri:  </w:t>
      </w:r>
      <w:r w:rsidRPr="00250C7F">
        <w:rPr>
          <w:rFonts w:ascii="Times New Roman" w:eastAsia="Times New Roman" w:hAnsi="Times New Roman" w:cs="Times New Roman"/>
          <w:i/>
          <w:sz w:val="24"/>
          <w:szCs w:val="24"/>
          <w:lang w:eastAsia="ro-RO"/>
        </w:rPr>
        <w:t xml:space="preserve">a) când, din informațiile de care dispune, reiese că persoana urmărită a fost judecată </w:t>
      </w:r>
      <w:r w:rsidRPr="00250C7F">
        <w:rPr>
          <w:rFonts w:ascii="Times New Roman" w:eastAsia="Times New Roman" w:hAnsi="Times New Roman" w:cs="Times New Roman"/>
          <w:i/>
          <w:sz w:val="24"/>
          <w:szCs w:val="24"/>
          <w:lang w:eastAsia="ro-RO"/>
        </w:rPr>
        <w:lastRenderedPageBreak/>
        <w:t>definitiv pentru aceleași fapte de către un stat membru, altul decât statul emitent, cu condiția ca, în cazul condamnării, sancțiunea să fi fost executată ori să fie în acel moment în curs de executare sau executarea să fie prescrisă, pedeapsa să fi fost grațiată ori infracțiunea să fi fost amnistiată sau să fi intervenit o altă cauză care împiedică executarea, potrivit legii statului de condamnare; b) când infracțiunea pe care se bazează mandatul european de arestare este acoperită de amnistie în România, dacă autoritățile române au, potrivit legii române, competența de a urmări acea infracțiune; c) când persoana care este supusă mandatului european de arestare nu răspunde penal, datorită vârstei sale, pentru faptele pe care se bazează mandatul de arestare în conformitate cu legea română</w:t>
      </w:r>
      <w:r w:rsidRPr="00250C7F">
        <w:rPr>
          <w:rFonts w:ascii="Times New Roman" w:eastAsia="Times New Roman" w:hAnsi="Times New Roman" w:cs="Times New Roman"/>
          <w:sz w:val="24"/>
          <w:szCs w:val="24"/>
          <w:lang w:eastAsia="ro-RO"/>
        </w:rPr>
        <w:t>.</w:t>
      </w:r>
    </w:p>
    <w:p w14:paraId="5FFC1F94"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De asemenea, conform aliniatului (2) al aceluiaşi articol, autoritatea judiciară română de executare poate refuza executarea mandatului european de arestare în mai multe cazuri cum ar fi: </w:t>
      </w:r>
      <w:r w:rsidRPr="00250C7F">
        <w:rPr>
          <w:rFonts w:ascii="Times New Roman" w:eastAsia="Times New Roman" w:hAnsi="Times New Roman" w:cs="Times New Roman"/>
          <w:i/>
          <w:sz w:val="24"/>
          <w:szCs w:val="24"/>
          <w:lang w:eastAsia="ro-RO"/>
        </w:rPr>
        <w:t>a) în situația prevăzută la art. 97 alin. (2) din prezenta lege</w:t>
      </w:r>
      <w:r w:rsidRPr="00250C7F">
        <w:rPr>
          <w:rFonts w:ascii="Times New Roman" w:eastAsia="Times New Roman" w:hAnsi="Times New Roman" w:cs="Times New Roman"/>
          <w:sz w:val="24"/>
          <w:szCs w:val="24"/>
          <w:lang w:eastAsia="ro-RO"/>
        </w:rPr>
        <w:t xml:space="preserve">...(respectiv faptele care motivează emiterea mandatului european de arestare să constituie infracțiune potrivit legii române, independent de elementele constitutive sau de încadrarea juridică a acesteia.); </w:t>
      </w:r>
      <w:r w:rsidRPr="00250C7F">
        <w:rPr>
          <w:rFonts w:ascii="Times New Roman" w:eastAsia="Times New Roman" w:hAnsi="Times New Roman" w:cs="Times New Roman"/>
          <w:i/>
          <w:sz w:val="24"/>
          <w:szCs w:val="24"/>
          <w:lang w:eastAsia="ro-RO"/>
        </w:rPr>
        <w:t>b) când persoana care face obiectul mandatului european de arestare este supusă unei proceduri penale în România pentru aceeași faptă care a motivat mandatul european de arestare; c) când mandatul european de arestare a fost emis în scopul executării unei pedepse cu închisoarea sau a unei măsuri de siguranță privative de libertate, dacă persoana solicitată este cetățean român sau trăiește în România și are o rezidență continuă și legală pe teritoriul României pentru o perioadă de cel puțin 5 ani și aceasta declară că refuză să execute pedeapsa ori măsura de siguranță în statul membru emitent; d) când persoana care face obiectul mandatului european a fost judecată definitiv pentru aceleași fapte într-un alt stat terț care nu este membru al Uniunii Europene, cu condiția ca, în caz de condamnare, sancțiunea să fi fost executată sau să fie în acel moment în curs de executare sau executarea să fie prescrisă ori infracțiunea să fi fost amnistiată sau pedeapsa să fi fost grațiată potrivit legii statului de condamnare; e) când mandatul european de arestare se referă la infracțiuni care, potrivit legii române, sunt comise pe teritoriul României; f) când mandatul european cuprinde infracțiuni care au fost comise în afara teritoriului statului emitent și legea română nu permite urmărirea acestor fapte atunci când s-au comis în afara teritoriului român; g) când, conform legislației române, răspunderea pentru infracțiunea pe care se întemeiază mandatul european de arestare ori executarea pedepsei aplicate s-a prescris, dacă faptele ar fi fost de competența autorităților române; h) când o autoritate judiciară română a decis fie renunțarea la urmărirea penală, fie clasarea pentru infracțiunea pe care se întemeiază mandatul european de arestare sau a pronunțat, față de persoana solicitată, o hotărâre definitivă, cu privire la aceleași fapte, care împiedică viitoare proceduri; i) când persoana condamnată nu a fost prezentă personal la judecată (...)</w:t>
      </w:r>
      <w:r w:rsidRPr="00250C7F">
        <w:rPr>
          <w:rFonts w:ascii="Times New Roman" w:eastAsia="Times New Roman" w:hAnsi="Times New Roman" w:cs="Times New Roman"/>
          <w:sz w:val="24"/>
          <w:szCs w:val="24"/>
          <w:lang w:eastAsia="ro-RO"/>
        </w:rPr>
        <w:t>.</w:t>
      </w:r>
    </w:p>
    <w:p w14:paraId="66544C7A"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Or, în speţă, instanţa penală nu a constatat incidenţa niciunui motiv din cele enumerate anterior de a refuza executarea mandatului european de arestare.</w:t>
      </w:r>
    </w:p>
    <w:p w14:paraId="4B06E1C0"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aceste condiţii, din examinarea dispozițiilor art. 84, art. 99, art. 102, art. 103 și art. 104 din Legea nr. 302/2004 privitoare la punerea în executare a mandatului european de arestare se constată că judecătorul român hotărăște asupra arestării și predării persoanei solicitate, numai după ce, potrivit legii, a verificat în prealabil dacă au fost respectate condițiile de formă referitoare la emiterea mandatului, el neputându-se pronunța cu privire la temeinicia urmăririi sau la oportunitatea arestării, decât cu atingerea principiului referitor la recunoașterea hotărârilor penale, ceea ce nu este admisibil.</w:t>
      </w:r>
    </w:p>
    <w:p w14:paraId="620F5F23"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lastRenderedPageBreak/>
        <w:t xml:space="preserve">Un argument în plus în sensul justeţei acestei concluzii se regăseşte chiar în cuprinsul art. 104 alin. (7) din Legea nr. 302/2004, conform căruia </w:t>
      </w:r>
      <w:r w:rsidRPr="00250C7F">
        <w:rPr>
          <w:rFonts w:ascii="Times New Roman" w:eastAsia="Times New Roman" w:hAnsi="Times New Roman" w:cs="Times New Roman"/>
          <w:i/>
          <w:sz w:val="24"/>
          <w:szCs w:val="24"/>
          <w:lang w:eastAsia="ro-RO"/>
        </w:rPr>
        <w:t>dacă persoana solicitată nu consimte la predarea sa către autoritatea judiciară emitentă, procedura de executare a mandatului european de arestare continuă cu audierea persoanei solicitate, care se limitează la consemnarea poziției acesteia față de existența unuia dintre motivele obligatorii sau opționale de neexecutare, precum și la eventuale obiecții în ceea ce privește identitatea</w:t>
      </w:r>
      <w:r w:rsidRPr="00250C7F">
        <w:rPr>
          <w:rFonts w:ascii="Times New Roman" w:eastAsia="Times New Roman" w:hAnsi="Times New Roman" w:cs="Times New Roman"/>
          <w:sz w:val="24"/>
          <w:szCs w:val="24"/>
          <w:lang w:eastAsia="ro-RO"/>
        </w:rPr>
        <w:t>.</w:t>
      </w:r>
    </w:p>
    <w:p w14:paraId="02C19A22"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De asemenea, nu se poate reţine nici încălcarea dispoziţiilor art. 104 pct. 12 din Legea nr. 302/2004, conform căruia, </w:t>
      </w:r>
      <w:r w:rsidRPr="00250C7F">
        <w:rPr>
          <w:rFonts w:ascii="Times New Roman" w:eastAsia="Times New Roman" w:hAnsi="Times New Roman" w:cs="Times New Roman"/>
          <w:i/>
          <w:sz w:val="24"/>
          <w:szCs w:val="24"/>
          <w:lang w:eastAsia="ro-RO"/>
        </w:rPr>
        <w:t>dacă judecătorul apreciază că în cauză se impune solicitarea de informații sau garanții suplimentare autorității judiciare emitente, amână cauza, stabilind un termen pentru primirea datelor solicitate.</w:t>
      </w:r>
    </w:p>
    <w:p w14:paraId="5842CAB7"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Aşa cum au reţinut instanţele anterioare, la 15 mai 2018, în declaraţia dată  în faţa instanţei penale, reclamantul a arătat că </w:t>
      </w:r>
      <w:r w:rsidRPr="00250C7F">
        <w:rPr>
          <w:rFonts w:ascii="Times New Roman" w:eastAsia="Times New Roman" w:hAnsi="Times New Roman" w:cs="Times New Roman"/>
          <w:i/>
          <w:sz w:val="24"/>
          <w:szCs w:val="24"/>
          <w:lang w:eastAsia="ro-RO"/>
        </w:rPr>
        <w:t>este de acord să fie predat  autorităţii judiciare din Luxemburg, cu precizarea că nu renunţă la  beneficiul regulii specialităţii, în sensul de a nu fi urmărit penal, condamnat sau privat de libertate pentru o infracțiune săvârșită înaintea predării sale, alta decât cea care a motivat predarea sa</w:t>
      </w:r>
      <w:r w:rsidRPr="00250C7F">
        <w:rPr>
          <w:rFonts w:ascii="Times New Roman" w:eastAsia="Times New Roman" w:hAnsi="Times New Roman" w:cs="Times New Roman"/>
          <w:sz w:val="24"/>
          <w:szCs w:val="24"/>
          <w:lang w:eastAsia="ro-RO"/>
        </w:rPr>
        <w:t xml:space="preserve">, la aceeaşi dată, Curtea de Apel Iaşi menţinând starea de arest şi dispunând predarea reclamantului către autoritatea solicitantă. </w:t>
      </w:r>
    </w:p>
    <w:p w14:paraId="1567A973"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Această situaţie a angrenat incidenţa procedurii simplificate prevăzută de art. 104 alin. (3), (5) şi (6) din lege, conform căreia judecătorul aduce la cunoștința persoanei solicitate </w:t>
      </w:r>
      <w:r w:rsidRPr="00250C7F">
        <w:rPr>
          <w:rFonts w:ascii="Times New Roman" w:eastAsia="Times New Roman" w:hAnsi="Times New Roman" w:cs="Times New Roman"/>
          <w:i/>
          <w:sz w:val="24"/>
          <w:szCs w:val="24"/>
          <w:lang w:eastAsia="ro-RO"/>
        </w:rPr>
        <w:t>posibilitatea de a consimți la predarea către autoritatea judiciară emitentă, punându-i în vedere consecințele juridice ale consimțământului la predare, îndeosebi caracterul irevocabil al acestuia</w:t>
      </w:r>
      <w:r w:rsidRPr="00250C7F">
        <w:rPr>
          <w:rFonts w:ascii="Times New Roman" w:eastAsia="Times New Roman" w:hAnsi="Times New Roman" w:cs="Times New Roman"/>
          <w:sz w:val="24"/>
          <w:szCs w:val="24"/>
          <w:lang w:eastAsia="ro-RO"/>
        </w:rPr>
        <w:t xml:space="preserve">, iar dacă persoana solicitată declară că este de acord cu predarea sa, se întocmește un proces-verbal care se semnează de către judecător, grefier, apărător și persoana solicitată, în cuprinsul căruia </w:t>
      </w:r>
      <w:r w:rsidRPr="00250C7F">
        <w:rPr>
          <w:rFonts w:ascii="Times New Roman" w:eastAsia="Times New Roman" w:hAnsi="Times New Roman" w:cs="Times New Roman"/>
          <w:i/>
          <w:sz w:val="24"/>
          <w:szCs w:val="24"/>
          <w:lang w:eastAsia="ro-RO"/>
        </w:rPr>
        <w:t>se va menționa dacă persoana solicitată a renunțat sau nu la drepturile conferite de regula specialității</w:t>
      </w:r>
      <w:r w:rsidRPr="00250C7F">
        <w:rPr>
          <w:rFonts w:ascii="Times New Roman" w:eastAsia="Times New Roman" w:hAnsi="Times New Roman" w:cs="Times New Roman"/>
          <w:sz w:val="24"/>
          <w:szCs w:val="24"/>
          <w:lang w:eastAsia="ro-RO"/>
        </w:rPr>
        <w:t>.</w:t>
      </w:r>
    </w:p>
    <w:p w14:paraId="44DC5886"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În acest caz, </w:t>
      </w:r>
      <w:r w:rsidRPr="00250C7F">
        <w:rPr>
          <w:rFonts w:ascii="Times New Roman" w:eastAsia="Times New Roman" w:hAnsi="Times New Roman" w:cs="Times New Roman"/>
          <w:i/>
          <w:sz w:val="24"/>
          <w:szCs w:val="24"/>
          <w:lang w:eastAsia="ro-RO"/>
        </w:rPr>
        <w:t>dacă nu este incident vreunul dintre motivele de refuz al executării prevăzute la art. 99, judecătorul se poate pronunța prin sentință, potrivit art. 109, deopotrivă asupra arestării și predării persoanei solicitate</w:t>
      </w:r>
      <w:r w:rsidRPr="00250C7F">
        <w:rPr>
          <w:rFonts w:ascii="Times New Roman" w:eastAsia="Times New Roman" w:hAnsi="Times New Roman" w:cs="Times New Roman"/>
          <w:sz w:val="24"/>
          <w:szCs w:val="24"/>
          <w:lang w:eastAsia="ro-RO"/>
        </w:rPr>
        <w:t>.</w:t>
      </w:r>
    </w:p>
    <w:p w14:paraId="543CEBEA"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Ca atare, în situaţia existenţei acordului de predare care, potrivit legii, are caracter irevocabil, instanţa penală nu era ţinută a verifica dacă în cauză se impune solicitarea de informații sau garanții suplimentare autorității judiciare emitente (aspect care oricum era facultativ, aşa cum se deduce din înţelesul sintagmei </w:t>
      </w:r>
      <w:r w:rsidRPr="00250C7F">
        <w:rPr>
          <w:rFonts w:ascii="Times New Roman" w:eastAsia="Times New Roman" w:hAnsi="Times New Roman" w:cs="Times New Roman"/>
          <w:i/>
          <w:sz w:val="24"/>
          <w:szCs w:val="24"/>
          <w:lang w:eastAsia="ro-RO"/>
        </w:rPr>
        <w:t>dacă judecătorul apreciază că în cauză se impune</w:t>
      </w:r>
      <w:r w:rsidRPr="00250C7F">
        <w:rPr>
          <w:rFonts w:ascii="Times New Roman" w:eastAsia="Times New Roman" w:hAnsi="Times New Roman" w:cs="Times New Roman"/>
          <w:sz w:val="24"/>
          <w:szCs w:val="24"/>
          <w:lang w:eastAsia="ro-RO"/>
        </w:rPr>
        <w:t xml:space="preserve"> din cuprinsul acestor dispoziţii), ci, doar de a verifica dacă există motivele de refuz al executării prevăzute la art. 99 din lege.</w:t>
      </w:r>
    </w:p>
    <w:p w14:paraId="403344AD"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Cu privire la constituţionalitatea acestei proceduri, Curtea Constituţională a României, în cadrul Deciziei nr. 693/2015, publicată în Monitorul Oficial al României nr. 903 din 4 decembrie 2015, a reţinut că </w:t>
      </w:r>
      <w:r w:rsidRPr="00250C7F">
        <w:rPr>
          <w:rFonts w:ascii="Times New Roman" w:eastAsia="Times New Roman" w:hAnsi="Times New Roman" w:cs="Times New Roman"/>
          <w:i/>
          <w:sz w:val="24"/>
          <w:szCs w:val="24"/>
          <w:lang w:eastAsia="ro-RO"/>
        </w:rPr>
        <w:t>măsura arestării preventive dispusă în vederea predării către un stat membru al Uniunii Europene, constituie o măsură privativă de libertate temporară dispusă în acord cu art. 23 alin. (2) din Constituţia României, republicată, care satisface pe deplin exigenţele constituţionale prevăzute în art.21 din acelaşi act normativ, partea având la îndemână toate garanţiile procesuale specifice unui proces echitabil (dreptul persoanei arestate de a fi informată cu privire la conţinutul mandatului european de arestare, de a fi asistată de un apărător ales sau numit din oficiu, de a fi asistată gratuit de către un interpret în cazul în care nu înţelege sau nu vorbeşte limba română ori dreptul de a formula contestaţie împotriva hotărârii referitoare la arestare etc</w:t>
      </w:r>
      <w:r w:rsidRPr="00250C7F">
        <w:rPr>
          <w:rFonts w:ascii="Times New Roman" w:eastAsia="Times New Roman" w:hAnsi="Times New Roman" w:cs="Times New Roman"/>
          <w:sz w:val="24"/>
          <w:szCs w:val="24"/>
          <w:lang w:eastAsia="ro-RO"/>
        </w:rPr>
        <w:t>.).</w:t>
      </w:r>
    </w:p>
    <w:p w14:paraId="388B32CC" w14:textId="0C38609A" w:rsidR="00ED11C0" w:rsidRPr="00250C7F" w:rsidRDefault="00ED11C0" w:rsidP="003D13CB">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lastRenderedPageBreak/>
        <w:t>Pe cale de consecinţă, se poate concluziona că, faţă de prevederile din Legea nr. 302/2004 care definesc procedura mandatului european de arestare, în mod corect au apreciat instanţele anterioare că nu se poate reţine în sarcina autorităţilor române săvârşirea unei erori judiciare în privinţa reclamantului cu ocazia instrumentării procedurii executării mandatului european de arestare emis, pe numele său de că</w:t>
      </w:r>
      <w:r w:rsidR="003D13CB" w:rsidRPr="00250C7F">
        <w:rPr>
          <w:rFonts w:ascii="Times New Roman" w:eastAsia="Times New Roman" w:hAnsi="Times New Roman" w:cs="Times New Roman"/>
          <w:sz w:val="24"/>
          <w:szCs w:val="24"/>
          <w:lang w:eastAsia="ro-RO"/>
        </w:rPr>
        <w:t xml:space="preserve">tre autorităţile judiciare din </w:t>
      </w:r>
      <w:r w:rsidRPr="00250C7F">
        <w:rPr>
          <w:rFonts w:ascii="Times New Roman" w:eastAsia="Times New Roman" w:hAnsi="Times New Roman" w:cs="Times New Roman"/>
          <w:sz w:val="24"/>
          <w:szCs w:val="24"/>
          <w:lang w:eastAsia="ro-RO"/>
        </w:rPr>
        <w:t>Luxemburg.</w:t>
      </w:r>
    </w:p>
    <w:p w14:paraId="4F2896D9" w14:textId="77777777" w:rsidR="00ED11C0" w:rsidRPr="00250C7F" w:rsidRDefault="00ED11C0" w:rsidP="00ED11C0">
      <w:pPr>
        <w:spacing w:after="0" w:line="276" w:lineRule="auto"/>
        <w:ind w:firstLine="720"/>
        <w:jc w:val="both"/>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sz w:val="24"/>
          <w:szCs w:val="24"/>
          <w:lang w:eastAsia="ro-RO"/>
        </w:rPr>
        <w:t xml:space="preserve">De asemenea, nu se poate aprecia că au fost încălcate nici dispoziţiile art. 5 din Convenția Europeană a Drepturilor Omului ce reglementează dreptul la libertate și la siguranță şi care prevede că </w:t>
      </w:r>
      <w:r w:rsidRPr="00250C7F">
        <w:rPr>
          <w:rFonts w:ascii="Times New Roman" w:eastAsia="Times New Roman" w:hAnsi="Times New Roman" w:cs="Times New Roman"/>
          <w:i/>
          <w:sz w:val="24"/>
          <w:szCs w:val="24"/>
          <w:lang w:eastAsia="ro-RO"/>
        </w:rPr>
        <w:t>nimeni nu poate fi lipsit de libertatea sa, cu excepția următoarelor cazuri și potrivit căilor legale</w:t>
      </w: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i/>
          <w:sz w:val="24"/>
          <w:szCs w:val="24"/>
          <w:lang w:eastAsia="ro-RO"/>
        </w:rPr>
        <w:t>a) dacă este deținut legal pe baza condamnării pronunțate de către un tribunal competent; b) dacă a făcut obiectul unei arestări sau al unei dețineri legale pentru nesupunerea la o hotărâre pronunțată, conform legii, de către un tribunal ori în vederea garantării executării unei obligații prevăzute de lege; c) dacă a fost arestat sau reținut în vederea aducerii sale în fața autorității judiciare competente, atunci când există motive verosimile de a se bănui că a săvârșit o infracțiune sau când există motive temeinice ale necesității de a-l împiedica să săvârșească o infracțiune sau să fugă după săvârșirea acesteia; d) dacă este vorba de detenția legală a unui minor, hotărâtă pentru educația sa sub supraveghere, sau despre detenția sa legală, în scopul aducerii sale în fața autorității competente; e) dacă este vorba despre detenția legală a unei persoane susceptibile să transmită o boală contagioasă, a unui alienat, a unui alcoolic, a unui toxicoman sau a unui vagabond; f) dacă este vorba despre arestarea sau detenția legală a unei persoane pentru a o împiedica să pătrundă în mod ilegal pe teritoriu sau împotriva căreia se află în curs o procedură de expulzare ori de extrădare.</w:t>
      </w:r>
    </w:p>
    <w:p w14:paraId="632FDB65"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După cum s-a arătat anterior, autorităţile judiciare române au dispus arestarea  provizorie a  reclamantului în vederea predării acestuia autorităţilor emitente ale mandatului european de arestare emis la 4.05.2018 de către autorităţile din Luxemburg, verificând existenţa condiţiilor formale, de procedură, necesare predării reclamantului autorităţilor din statul membru al Uniunii Europene, măsura dispusă încadrându-se la excepţiile prevăzute în mod expres la art. 5 alineatul 1 lit. c din CEDO. </w:t>
      </w:r>
    </w:p>
    <w:p w14:paraId="3E00A65B" w14:textId="77777777" w:rsidR="00ED11C0" w:rsidRPr="00250C7F" w:rsidRDefault="00ED11C0" w:rsidP="00ED11C0">
      <w:pPr>
        <w:spacing w:after="0" w:line="276" w:lineRule="auto"/>
        <w:ind w:firstLine="720"/>
        <w:jc w:val="both"/>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sz w:val="24"/>
          <w:szCs w:val="24"/>
          <w:lang w:eastAsia="ro-RO"/>
        </w:rPr>
        <w:t xml:space="preserve">Ca atare, în mod corect au apreciat instanţele anterioare că </w:t>
      </w:r>
      <w:r w:rsidRPr="00250C7F">
        <w:rPr>
          <w:rFonts w:ascii="Times New Roman" w:eastAsia="Times New Roman" w:hAnsi="Times New Roman" w:cs="Times New Roman"/>
          <w:i/>
          <w:sz w:val="24"/>
          <w:szCs w:val="24"/>
          <w:lang w:eastAsia="ro-RO"/>
        </w:rPr>
        <w:t xml:space="preserve">nu se poate reţine nelegalitatea arestării reclamantului pe teritoriul României anterior predării către autoritatea solicitantă din Luxemburg, Statul Român respectându-şi obligaţiile de stat membru al Uniunii Europene, </w:t>
      </w:r>
      <w:r w:rsidRPr="00250C7F">
        <w:rPr>
          <w:rFonts w:ascii="Times New Roman" w:eastAsia="Times New Roman" w:hAnsi="Times New Roman" w:cs="Times New Roman"/>
          <w:sz w:val="24"/>
          <w:szCs w:val="24"/>
          <w:lang w:eastAsia="ro-RO"/>
        </w:rPr>
        <w:t>instanţa penală solicitată neavând</w:t>
      </w:r>
      <w:r w:rsidRPr="00250C7F">
        <w:rPr>
          <w:rFonts w:ascii="Times New Roman" w:eastAsia="Times New Roman" w:hAnsi="Times New Roman" w:cs="Times New Roman"/>
          <w:i/>
          <w:sz w:val="24"/>
          <w:szCs w:val="24"/>
          <w:lang w:eastAsia="ro-RO"/>
        </w:rPr>
        <w:t xml:space="preserve"> competenţa de a verifica temeinicia soluţiei dispuse de autoritatea judiciară privind emiterea mandatului european de arestare, </w:t>
      </w:r>
      <w:r w:rsidRPr="00250C7F">
        <w:rPr>
          <w:rFonts w:ascii="Times New Roman" w:eastAsia="Times New Roman" w:hAnsi="Times New Roman" w:cs="Times New Roman"/>
          <w:sz w:val="24"/>
          <w:szCs w:val="24"/>
          <w:lang w:eastAsia="ro-RO"/>
        </w:rPr>
        <w:t>astfel încât prejudiciul invocat</w:t>
      </w:r>
      <w:r w:rsidRPr="00250C7F">
        <w:rPr>
          <w:rFonts w:ascii="Times New Roman" w:eastAsia="Times New Roman" w:hAnsi="Times New Roman" w:cs="Times New Roman"/>
          <w:i/>
          <w:sz w:val="24"/>
          <w:szCs w:val="24"/>
          <w:lang w:eastAsia="ro-RO"/>
        </w:rPr>
        <w:t xml:space="preserve"> </w:t>
      </w:r>
      <w:r w:rsidRPr="00250C7F">
        <w:rPr>
          <w:rFonts w:ascii="Times New Roman" w:eastAsia="Times New Roman" w:hAnsi="Times New Roman" w:cs="Times New Roman"/>
          <w:bCs/>
          <w:i/>
          <w:sz w:val="24"/>
          <w:szCs w:val="24"/>
          <w:lang w:eastAsia="ro-RO"/>
        </w:rPr>
        <w:t>nu este în legătură cu vreo faptă ilicită imputabilă pârâtului.</w:t>
      </w:r>
    </w:p>
    <w:p w14:paraId="39FAC3C8" w14:textId="77777777" w:rsidR="00ED11C0" w:rsidRPr="00250C7F" w:rsidRDefault="00ED11C0" w:rsidP="00ED11C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Cum </w:t>
      </w:r>
      <w:r w:rsidRPr="00250C7F">
        <w:rPr>
          <w:rFonts w:ascii="Times New Roman" w:eastAsia="Times New Roman" w:hAnsi="Times New Roman" w:cs="Times New Roman"/>
          <w:i/>
          <w:sz w:val="24"/>
          <w:szCs w:val="24"/>
          <w:lang w:eastAsia="ro-RO"/>
        </w:rPr>
        <w:t>existenţa faptei ilicite</w:t>
      </w:r>
      <w:r w:rsidRPr="00250C7F">
        <w:rPr>
          <w:rFonts w:ascii="Times New Roman" w:eastAsia="Times New Roman" w:hAnsi="Times New Roman" w:cs="Times New Roman"/>
          <w:sz w:val="24"/>
          <w:szCs w:val="24"/>
          <w:lang w:eastAsia="ro-RO"/>
        </w:rPr>
        <w:t xml:space="preserve"> reprezintă una din condiţiile esenţiale pentru a fi angajată răspunderea civilă delictuală conform art. 1349 şi art. 1347 Cod civil  prin raportare la art. 5 din CEDO, în mod corect s-a apreciat că nu poate fi angajată răspunderea civilă delictuală a pârâtului, în baza acestor texte legale pentru acoperirea prejudiciului pretins de către reclamant.</w:t>
      </w:r>
    </w:p>
    <w:p w14:paraId="77D395B9" w14:textId="034B8C48" w:rsidR="00A9433C" w:rsidRPr="00250C7F" w:rsidRDefault="00ED11C0" w:rsidP="00332ED0">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Faţă de considerentele mai sus arătate, nefiind incident în speţă niciunul din motivele de nelegalitate invocate, încadrate în dispoziţiile art. 488 alin. 1 pct. 8 Cod procedură civilă,  în aplicarea dispozițiilor art. 496 din Codul de procedură civilă, recursul declarat de reclamantul A. împotriva deciziei nr.382/2020, pronunţată de Curtea de Apel Iaşi, Secţia civilă a fost respins ca nefondat.</w:t>
      </w:r>
    </w:p>
    <w:p w14:paraId="000C69FF" w14:textId="7244E50B" w:rsidR="00ED11C0" w:rsidRPr="00250C7F" w:rsidRDefault="00ED11C0" w:rsidP="00797BFA">
      <w:pPr>
        <w:pStyle w:val="Heading3"/>
        <w:spacing w:before="0" w:line="276" w:lineRule="auto"/>
        <w:jc w:val="both"/>
        <w:rPr>
          <w:rFonts w:ascii="Times New Roman" w:eastAsia="Times New Roman" w:hAnsi="Times New Roman" w:cs="Times New Roman"/>
          <w:b/>
          <w:iCs/>
          <w:color w:val="auto"/>
          <w:lang w:eastAsia="ro-RO"/>
        </w:rPr>
      </w:pPr>
      <w:bookmarkStart w:id="13" w:name="_Toc84584803"/>
      <w:r w:rsidRPr="00250C7F">
        <w:rPr>
          <w:rFonts w:ascii="Times New Roman" w:eastAsia="Times New Roman" w:hAnsi="Times New Roman" w:cs="Times New Roman"/>
          <w:b/>
          <w:bCs/>
          <w:color w:val="auto"/>
          <w:lang w:eastAsia="ro-RO"/>
        </w:rPr>
        <w:lastRenderedPageBreak/>
        <w:t>3.</w:t>
      </w:r>
      <w:r w:rsidRPr="00250C7F">
        <w:rPr>
          <w:rFonts w:ascii="Times New Roman" w:eastAsia="Times New Roman" w:hAnsi="Times New Roman" w:cs="Times New Roman"/>
          <w:color w:val="auto"/>
          <w:lang w:eastAsia="ro-RO"/>
        </w:rPr>
        <w:t xml:space="preserve"> </w:t>
      </w:r>
      <w:r w:rsidRPr="00250C7F">
        <w:rPr>
          <w:rFonts w:ascii="Times New Roman" w:eastAsia="Times New Roman" w:hAnsi="Times New Roman" w:cs="Times New Roman"/>
          <w:b/>
          <w:iCs/>
          <w:color w:val="auto"/>
          <w:lang w:eastAsia="ro-RO"/>
        </w:rPr>
        <w:t>Teren forestier încadrat în categoria „arii protejate”. Imposibilitatea exploatării bunului de către proprietar. Omisiunea autorităţilor statale de a adopta cadrul normativ de reglementare a procedurii de acordare a compensaţiilor băneşti cuvenite. Atingere adusă dreptului de proprietate. Calitatea procesuală pasivă a Statului Român. Răspundere obiectivă. Prejudiciu moral. Acţiune în despăgubiri</w:t>
      </w:r>
      <w:bookmarkEnd w:id="13"/>
    </w:p>
    <w:p w14:paraId="735551C0" w14:textId="2B2E30EE" w:rsidR="007B6852" w:rsidRPr="00250C7F" w:rsidRDefault="007B6852" w:rsidP="007B6852">
      <w:pPr>
        <w:spacing w:after="0" w:line="276" w:lineRule="auto"/>
        <w:jc w:val="both"/>
        <w:rPr>
          <w:rFonts w:ascii="Times New Roman" w:eastAsia="Times New Roman" w:hAnsi="Times New Roman" w:cs="Times New Roman"/>
          <w:b/>
          <w:iCs/>
          <w:sz w:val="24"/>
          <w:szCs w:val="24"/>
          <w:lang w:eastAsia="ro-RO"/>
        </w:rPr>
      </w:pPr>
    </w:p>
    <w:p w14:paraId="5EDEC595" w14:textId="77777777" w:rsidR="007B6852" w:rsidRPr="00250C7F" w:rsidRDefault="007B6852" w:rsidP="007B6852">
      <w:pPr>
        <w:spacing w:after="0" w:line="276" w:lineRule="auto"/>
        <w:jc w:val="right"/>
        <w:rPr>
          <w:rFonts w:ascii="Times New Roman" w:eastAsia="Times New Roman" w:hAnsi="Times New Roman" w:cs="Times New Roman"/>
          <w:bCs/>
          <w:iCs/>
          <w:sz w:val="24"/>
          <w:szCs w:val="24"/>
          <w:lang w:eastAsia="ro-RO"/>
        </w:rPr>
      </w:pPr>
      <w:r w:rsidRPr="00250C7F">
        <w:rPr>
          <w:rFonts w:ascii="Times New Roman" w:eastAsia="Times New Roman" w:hAnsi="Times New Roman" w:cs="Times New Roman"/>
          <w:bCs/>
          <w:iCs/>
          <w:sz w:val="24"/>
          <w:szCs w:val="24"/>
          <w:lang w:eastAsia="ro-RO"/>
        </w:rPr>
        <w:t>Codul silvic, art. 97 alin. (1) lit. b</w:t>
      </w:r>
    </w:p>
    <w:p w14:paraId="2617EFCE" w14:textId="1EE722EF" w:rsidR="007B6852" w:rsidRPr="00250C7F" w:rsidRDefault="007B6852" w:rsidP="007B6852">
      <w:pPr>
        <w:spacing w:after="0" w:line="276" w:lineRule="auto"/>
        <w:jc w:val="right"/>
        <w:rPr>
          <w:rFonts w:ascii="Times New Roman" w:eastAsia="Times New Roman" w:hAnsi="Times New Roman" w:cs="Times New Roman"/>
          <w:bCs/>
          <w:iCs/>
          <w:sz w:val="24"/>
          <w:szCs w:val="24"/>
          <w:lang w:eastAsia="ro-RO"/>
        </w:rPr>
      </w:pPr>
      <w:r w:rsidRPr="00250C7F">
        <w:rPr>
          <w:rFonts w:ascii="Times New Roman" w:eastAsia="Times New Roman" w:hAnsi="Times New Roman" w:cs="Times New Roman"/>
          <w:bCs/>
          <w:iCs/>
          <w:sz w:val="24"/>
          <w:szCs w:val="24"/>
          <w:lang w:eastAsia="ro-RO"/>
        </w:rPr>
        <w:t>Constituţie, art. 1 alin. (3), alin. (5), art. 52</w:t>
      </w:r>
    </w:p>
    <w:p w14:paraId="2433DC94" w14:textId="77777777" w:rsidR="007B6852" w:rsidRPr="00250C7F" w:rsidRDefault="007B6852" w:rsidP="007B6852">
      <w:pPr>
        <w:spacing w:after="0" w:line="276" w:lineRule="auto"/>
        <w:jc w:val="both"/>
        <w:rPr>
          <w:rFonts w:ascii="Times New Roman" w:eastAsia="Times New Roman" w:hAnsi="Times New Roman" w:cs="Times New Roman"/>
          <w:bCs/>
          <w:iCs/>
          <w:sz w:val="24"/>
          <w:szCs w:val="24"/>
          <w:lang w:eastAsia="ro-RO"/>
        </w:rPr>
      </w:pPr>
    </w:p>
    <w:p w14:paraId="6B7DB9D9"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
          <w:iCs/>
          <w:sz w:val="24"/>
          <w:szCs w:val="24"/>
          <w:lang w:eastAsia="ro-RO"/>
        </w:rPr>
      </w:pPr>
      <w:r w:rsidRPr="00250C7F">
        <w:rPr>
          <w:rFonts w:ascii="Times New Roman" w:eastAsia="Times New Roman" w:hAnsi="Times New Roman" w:cs="Times New Roman"/>
          <w:i/>
          <w:iCs/>
          <w:sz w:val="24"/>
          <w:szCs w:val="24"/>
          <w:lang w:eastAsia="ro-RO"/>
        </w:rPr>
        <w:t>Deşi la nivel legislativ este recunoscut dreptul la compensaţii al proprietarilor terenurilor cu vegetaţie forestieră care nu pot fi exploatate din cauza funcţiilor de protecţie pe care le îndeplinesc amenajamentele silvice, în mod efectiv, astfel de despăgubiri nu au fost acordate întrucât Guvernul nu şi-a îndeplinit obligaţia de a emite Normele metodologice şi a derula procedurile necesare acordării unor astfel de sume considerate ajutoare de stat.</w:t>
      </w:r>
    </w:p>
    <w:p w14:paraId="514FB1CB"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
          <w:iCs/>
          <w:sz w:val="24"/>
          <w:szCs w:val="24"/>
          <w:lang w:eastAsia="ro-RO"/>
        </w:rPr>
      </w:pPr>
      <w:r w:rsidRPr="00250C7F">
        <w:rPr>
          <w:rFonts w:ascii="Times New Roman" w:eastAsia="Times New Roman" w:hAnsi="Times New Roman" w:cs="Times New Roman"/>
          <w:i/>
          <w:iCs/>
          <w:sz w:val="24"/>
          <w:szCs w:val="24"/>
          <w:lang w:eastAsia="ro-RO"/>
        </w:rPr>
        <w:t xml:space="preserve">Astfel, un drept de creanţă reglementat şi recunoscut de lege în favoarea proprietarilor de terenuri forestiere ca o compensaţie, dată fiind natura şi afectaţiunea specială a bunului din patrimoniul lor, a devenit iluzoriu şi lipsit de substanţă. </w:t>
      </w:r>
    </w:p>
    <w:p w14:paraId="213EA2D7" w14:textId="116E4734" w:rsidR="007B6852" w:rsidRPr="00250C7F" w:rsidRDefault="007B6852" w:rsidP="00A9433C">
      <w:pPr>
        <w:spacing w:after="0" w:line="276" w:lineRule="auto"/>
        <w:ind w:firstLine="567"/>
        <w:contextualSpacing/>
        <w:jc w:val="both"/>
        <w:rPr>
          <w:rFonts w:ascii="Times New Roman" w:eastAsia="Times New Roman" w:hAnsi="Times New Roman" w:cs="Times New Roman"/>
          <w:i/>
          <w:iCs/>
          <w:sz w:val="24"/>
          <w:szCs w:val="24"/>
          <w:lang w:eastAsia="ro-RO"/>
        </w:rPr>
      </w:pPr>
      <w:r w:rsidRPr="00250C7F">
        <w:rPr>
          <w:rFonts w:ascii="Times New Roman" w:eastAsia="Times New Roman" w:hAnsi="Times New Roman" w:cs="Times New Roman"/>
          <w:i/>
          <w:iCs/>
          <w:sz w:val="24"/>
          <w:szCs w:val="24"/>
          <w:lang w:eastAsia="ro-RO"/>
        </w:rPr>
        <w:t>În acest context, tergiversarea nejustificată a procedurilor de către autorităţile competente, prin care să se asigure cadrul normativ adecvat acordării acestor compensaţii, este de natură să aducă atingere dreptului de proprietate şi să îl situeze pe titularul său într-o situaţie de dezavantaj economic şi social în raport cu autorităţile statului. De aceea, acţiunea reclamantei îndreptată împotriva Statului, răspunzător şi garant al desfășurării activităţii autorităţilor şi instituţiilor sale cu respectarea drepturilor şi intereselor legitime ale persoanelor este una care justifică nu doar cadrul procesual pasiv, ci şi condiţiile de fond ale răspunderii delictuale. Fundamentul răspunderii statului, în acest caz, este unul obiectiv, dat de ideea de garanţie şi de risc în legătură cu activitatea autorităţilor sale, aşa cum se desprinde la nivel de principiu din chiar dispoziţiile art. 52, art. 1 alin. (3) şi (5) din Legea fundamentală.</w:t>
      </w:r>
    </w:p>
    <w:p w14:paraId="4EAE5069" w14:textId="77777777" w:rsidR="00A9433C" w:rsidRPr="00250C7F" w:rsidRDefault="00A9433C" w:rsidP="00A9433C">
      <w:pPr>
        <w:spacing w:after="0" w:line="276" w:lineRule="auto"/>
        <w:ind w:firstLine="567"/>
        <w:contextualSpacing/>
        <w:jc w:val="both"/>
        <w:rPr>
          <w:rFonts w:ascii="Times New Roman" w:eastAsia="Times New Roman" w:hAnsi="Times New Roman" w:cs="Times New Roman"/>
          <w:i/>
          <w:iCs/>
          <w:sz w:val="24"/>
          <w:szCs w:val="24"/>
          <w:lang w:eastAsia="ro-RO"/>
        </w:rPr>
      </w:pPr>
    </w:p>
    <w:p w14:paraId="7AF9D95C" w14:textId="77777777" w:rsidR="007B6852" w:rsidRPr="00250C7F" w:rsidRDefault="007B6852" w:rsidP="007B6852">
      <w:pPr>
        <w:spacing w:after="0" w:line="276" w:lineRule="auto"/>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I.C.C.J., Secția I civilă, decizia nr. 448 din 10 martie 2021</w:t>
      </w:r>
    </w:p>
    <w:p w14:paraId="5E1494A8" w14:textId="77777777" w:rsidR="007B6852" w:rsidRPr="00250C7F" w:rsidRDefault="007B6852" w:rsidP="007B6852">
      <w:pPr>
        <w:spacing w:after="0" w:line="276" w:lineRule="auto"/>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 xml:space="preserve"> </w:t>
      </w:r>
    </w:p>
    <w:p w14:paraId="5697E325" w14:textId="77777777" w:rsidR="007B6852" w:rsidRPr="00250C7F" w:rsidRDefault="007B6852" w:rsidP="007B6852">
      <w:pPr>
        <w:shd w:val="clear" w:color="auto" w:fill="FFFFFF"/>
        <w:spacing w:after="0" w:line="276" w:lineRule="auto"/>
        <w:ind w:left="360" w:firstLine="207"/>
        <w:contextualSpacing/>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I. Circumstanţele cauzei</w:t>
      </w:r>
    </w:p>
    <w:p w14:paraId="1BF1F4C9" w14:textId="77777777" w:rsidR="007B6852" w:rsidRPr="00250C7F" w:rsidRDefault="007B6852" w:rsidP="007B6852">
      <w:pPr>
        <w:numPr>
          <w:ilvl w:val="0"/>
          <w:numId w:val="43"/>
        </w:numPr>
        <w:shd w:val="clear" w:color="auto" w:fill="FFFFFF"/>
        <w:spacing w:after="0" w:line="276" w:lineRule="auto"/>
        <w:contextualSpacing/>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Obiectul cauzei</w:t>
      </w:r>
    </w:p>
    <w:p w14:paraId="2C487D8A" w14:textId="77777777" w:rsidR="007B6852" w:rsidRPr="00250C7F" w:rsidRDefault="007B6852" w:rsidP="007B6852">
      <w:pPr>
        <w:widowControl w:val="0"/>
        <w:autoSpaceDE w:val="0"/>
        <w:autoSpaceDN w:val="0"/>
        <w:adjustRightInd w:val="0"/>
        <w:spacing w:after="0" w:line="276" w:lineRule="auto"/>
        <w:ind w:firstLine="63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cererea de chemare în judecată înregistrată pe rolul Tribunalului Dolj, Secţia I civilă la data de 17 octombrie 2019, reclamanta A. a solicitat, în contradictoriu cu pârâtul Statul Român, prin Ministerul Finanţelor Publice, ca prin hotărârea ce se va pronunţa să se dispună obligarea acestuia la plata sumei de 100.000 euro, în echivalent în lei la data plăţii, potrivit cursului valutar oficial BNR euro/leu, cu titlu de daune morale, sumă care reprezintă contravaloarea prejudiciului moral ce i-a fost produs prin atingerea adusă demnităţii sociale şi prin discriminarea socio-economică în sens de „ranking”, din cauza tergiversării procedurilor şi întârzierii excesive şi nejustificate a acordării efective a sumelor cuvenite cu titlu de compensaţii băneşti, cu caracter de ajutor de stat, cuvenite potrivit art. 97 alin. 1 lit. b din Legea nr. 46/2008, pentru proprietarii de vegetaţie forestieră (păduri) care constituie arii protejate.</w:t>
      </w:r>
    </w:p>
    <w:p w14:paraId="7404EBA6" w14:textId="77777777" w:rsidR="007B6852" w:rsidRPr="00250C7F" w:rsidRDefault="007B6852" w:rsidP="007B6852">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w:t>
      </w:r>
      <w:r w:rsidRPr="00250C7F">
        <w:rPr>
          <w:rFonts w:ascii="Times New Roman" w:eastAsia="Times New Roman" w:hAnsi="Times New Roman" w:cs="Times New Roman"/>
          <w:b/>
          <w:bCs/>
          <w:sz w:val="24"/>
          <w:szCs w:val="24"/>
        </w:rPr>
        <w:t>2.   Sentinţa pronunţată de tribunal</w:t>
      </w:r>
    </w:p>
    <w:p w14:paraId="7BD13B4F" w14:textId="77777777" w:rsidR="007B6852" w:rsidRPr="00250C7F" w:rsidRDefault="007B6852" w:rsidP="007B6852">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color w:val="FF0000"/>
          <w:sz w:val="24"/>
          <w:szCs w:val="24"/>
          <w:lang w:eastAsia="ro-RO"/>
        </w:rPr>
        <w:lastRenderedPageBreak/>
        <w:t xml:space="preserve"> </w:t>
      </w:r>
      <w:r w:rsidRPr="00250C7F">
        <w:rPr>
          <w:rFonts w:ascii="Times New Roman" w:eastAsia="Times New Roman" w:hAnsi="Times New Roman" w:cs="Times New Roman"/>
          <w:color w:val="FF0000"/>
          <w:sz w:val="24"/>
          <w:szCs w:val="24"/>
          <w:lang w:eastAsia="ro-RO"/>
        </w:rPr>
        <w:tab/>
      </w:r>
      <w:r w:rsidRPr="00250C7F">
        <w:rPr>
          <w:rFonts w:ascii="Times New Roman" w:eastAsia="Times New Roman" w:hAnsi="Times New Roman" w:cs="Times New Roman"/>
          <w:sz w:val="24"/>
          <w:szCs w:val="24"/>
          <w:lang w:eastAsia="ro-RO"/>
        </w:rPr>
        <w:t xml:space="preserve"> Prin sentinţa nr. 299 din 26.06.2020, Tribunalul Dolj, Secţia I civilă a  respins, ca nefondate, excepţiile lipsei calităţii procesuale pasive a Statului Român şi inadmisibilităţii acţiunii. A admis, în parte, acțiunea formulată de A. în contradictoriu cu Statul Român prin Ministerul Finanţelor Publice. L-a obligat pe pârât  la plata către reclamantă a sumei de 10.000 euro, în echivalent în lei la data plăţii, potrivit cursului valutar oficial BNR euro/leu, cu titlu de daune morale, precum şi a sumei de 1.100 lei cu titlu de cheltuieli de judecată reprezentând taxă de timbru şi onorariu avocaţial.</w:t>
      </w:r>
    </w:p>
    <w:p w14:paraId="24DD3738" w14:textId="77777777" w:rsidR="007B6852" w:rsidRPr="00250C7F" w:rsidRDefault="007B6852" w:rsidP="007B6852">
      <w:pPr>
        <w:spacing w:after="0" w:line="276" w:lineRule="auto"/>
        <w:jc w:val="both"/>
        <w:rPr>
          <w:rFonts w:ascii="Times New Roman" w:eastAsia="Times New Roman" w:hAnsi="Times New Roman" w:cs="Times New Roman"/>
          <w:b/>
          <w:bCs/>
          <w:color w:val="FF0000"/>
          <w:sz w:val="24"/>
          <w:szCs w:val="24"/>
          <w:lang w:eastAsia="ro-RO"/>
        </w:rPr>
      </w:pPr>
      <w:r w:rsidRPr="00250C7F">
        <w:rPr>
          <w:rFonts w:ascii="Times New Roman" w:eastAsia="Times New Roman" w:hAnsi="Times New Roman" w:cs="Times New Roman"/>
          <w:b/>
          <w:bCs/>
          <w:color w:val="FF0000"/>
          <w:sz w:val="24"/>
          <w:szCs w:val="24"/>
          <w:lang w:eastAsia="ro-RO"/>
        </w:rPr>
        <w:t xml:space="preserve"> </w:t>
      </w:r>
      <w:r w:rsidRPr="00250C7F">
        <w:rPr>
          <w:rFonts w:ascii="Times New Roman" w:eastAsia="Times New Roman" w:hAnsi="Times New Roman" w:cs="Times New Roman"/>
          <w:b/>
          <w:bCs/>
          <w:sz w:val="24"/>
          <w:szCs w:val="24"/>
          <w:lang w:eastAsia="ro-RO"/>
        </w:rPr>
        <w:tab/>
        <w:t xml:space="preserve">3.  Decizia pronunţată de curtea de apel </w:t>
      </w:r>
    </w:p>
    <w:p w14:paraId="559C1A03" w14:textId="77777777" w:rsidR="007B6852" w:rsidRPr="00250C7F" w:rsidRDefault="007B6852" w:rsidP="007B6852">
      <w:pPr>
        <w:spacing w:after="0" w:line="276" w:lineRule="auto"/>
        <w:ind w:firstLine="57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Soluţia primei instanţe a fost menţinută de Curtea de Apel Craiova, Secţia civilă, prin decizia nr. 2348 din 9.12.2020, prin care s-au respins, ca nefondate, apelurile reclamantei şi pârâtei împotriva sentinţei tribunalului. A fost respinsă cererea apelantei – reclamante de acordare a cheltuielilor de judecată în apel.</w:t>
      </w:r>
    </w:p>
    <w:p w14:paraId="609EC78B" w14:textId="77777777" w:rsidR="007B6852" w:rsidRPr="00250C7F" w:rsidRDefault="007B6852" w:rsidP="007B6852">
      <w:pPr>
        <w:numPr>
          <w:ilvl w:val="0"/>
          <w:numId w:val="42"/>
        </w:numPr>
        <w:shd w:val="clear" w:color="auto" w:fill="FFFFFF"/>
        <w:spacing w:after="0" w:line="276" w:lineRule="auto"/>
        <w:contextualSpacing/>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Calea de atac a recursului formulată în cauză</w:t>
      </w:r>
    </w:p>
    <w:p w14:paraId="465A1343" w14:textId="77777777" w:rsidR="007B6852" w:rsidRPr="00250C7F" w:rsidRDefault="007B6852" w:rsidP="007B6852">
      <w:pPr>
        <w:shd w:val="clear" w:color="auto" w:fill="FFFFFF"/>
        <w:spacing w:after="0" w:line="276" w:lineRule="auto"/>
        <w:ind w:firstLine="634"/>
        <w:jc w:val="both"/>
        <w:rPr>
          <w:rFonts w:ascii="Times New Roman" w:eastAsia="Times New Roman" w:hAnsi="Times New Roman" w:cs="Times New Roman"/>
          <w:color w:val="FF0000"/>
          <w:sz w:val="24"/>
          <w:szCs w:val="24"/>
          <w:lang w:eastAsia="ro-RO"/>
        </w:rPr>
      </w:pPr>
      <w:r w:rsidRPr="00250C7F">
        <w:rPr>
          <w:rFonts w:ascii="Times New Roman" w:eastAsia="Times New Roman" w:hAnsi="Times New Roman" w:cs="Times New Roman"/>
          <w:color w:val="FF0000"/>
          <w:sz w:val="24"/>
          <w:szCs w:val="24"/>
          <w:lang w:eastAsia="ro-RO"/>
        </w:rPr>
        <w:t xml:space="preserve"> </w:t>
      </w:r>
      <w:r w:rsidRPr="00250C7F">
        <w:rPr>
          <w:rFonts w:ascii="Times New Roman" w:eastAsia="Times New Roman" w:hAnsi="Times New Roman" w:cs="Times New Roman"/>
          <w:sz w:val="24"/>
          <w:szCs w:val="24"/>
          <w:lang w:eastAsia="ro-RO"/>
        </w:rPr>
        <w:t>Împotriva acestei decizii a declarat recurs Direcţia Generală Regională a Finanţelor Publice Craiova, în numele şi pentru Statul Român prin Ministerul Finanţelor Publice.</w:t>
      </w:r>
    </w:p>
    <w:p w14:paraId="08A1BD2C" w14:textId="77777777" w:rsidR="007B6852" w:rsidRPr="00250C7F" w:rsidRDefault="007B6852" w:rsidP="007B6852">
      <w:pPr>
        <w:widowControl w:val="0"/>
        <w:autoSpaceDE w:val="0"/>
        <w:autoSpaceDN w:val="0"/>
        <w:adjustRightInd w:val="0"/>
        <w:spacing w:after="0" w:line="276" w:lineRule="auto"/>
        <w:ind w:firstLine="705"/>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Potrivit  cererii de recurs, pârâtul, prin motive subsumate, în mod formal, dispozițiilor pct. 6 şi 8 ale art. 488 Cod procedură civilă, a dezvoltat următoarele critici:</w:t>
      </w:r>
    </w:p>
    <w:p w14:paraId="3FE2ED91" w14:textId="77777777" w:rsidR="007B6852" w:rsidRPr="00250C7F" w:rsidRDefault="007B6852" w:rsidP="007B6852">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color w:val="FF0000"/>
          <w:sz w:val="24"/>
          <w:szCs w:val="24"/>
          <w:lang w:eastAsia="ro-RO"/>
        </w:rPr>
        <w:tab/>
      </w:r>
      <w:r w:rsidRPr="00250C7F">
        <w:rPr>
          <w:rFonts w:ascii="Times New Roman" w:eastAsia="Times New Roman" w:hAnsi="Times New Roman" w:cs="Times New Roman"/>
          <w:sz w:val="24"/>
          <w:szCs w:val="24"/>
          <w:lang w:eastAsia="ro-RO"/>
        </w:rPr>
        <w:t>- Instanța de apel nu s-a pronunţat asupra apelului exercitat  de pârât, în considerentele hotărârii atacate fiind analizat numai apelul reclamantei.</w:t>
      </w:r>
    </w:p>
    <w:p w14:paraId="7FC0B06F"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Astfel, s-a susținut că, potrivit deciziei atacate, instanţa nu s-a pronunţat asupra excepţiei lipsei calităţii procesuale pasive invocată de Statul Român prin Ministerul Finanţelor Publice.</w:t>
      </w:r>
    </w:p>
    <w:p w14:paraId="1E3D8D95"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 arătat recurentul că pentru a fi parte în proces trebuie îndeplinite cumulativ mai multe condiţii, care sunt în acelaşi timp şi condiţii de exerciţiu ale acţiunii civile, precum şi ale oricărei forme procedurale ce intră în conţinutul acţiunii, printre care se regăseşte şi aceea a calităţii procesuale.</w:t>
      </w:r>
    </w:p>
    <w:p w14:paraId="3A6D5F53"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Or, calitatea procesuală presupune existenţa unei identităţi între reclamant şi cel care este titularul dreptului din raportul juridic dedus judecăţii, precum şi între pârât şi cel obligat în acelaşi raport juridic.</w:t>
      </w:r>
    </w:p>
    <w:p w14:paraId="10EED6F6"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Recurentul a invocat, în susţinerea acestui aspect, prevederile art. 97 alin. 1 lit. b) din Legea nr. 46/2008, conform cărora sumele pentru acordarea compensaţiilor reprezintă contravaloarea produselor pe care proprietarul nu le recoltează, datorită funcţiilor de protecţie stabilite prin amenajamente silvice, care se alocă anual de către stat prin bugetul autorităţii publice centrale care răspunde de silvicultură.</w:t>
      </w:r>
    </w:p>
    <w:p w14:paraId="35B94CBF"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Autoritatea publică centrală care răspunde de silvicultură este, în primul rând, Ministerul Apelor şi Pădurilor, acesta având şi calitatea de ordonator principal de credite conform pct. 3 din Legea nr. 71/2013 şi fiind cel care, la final, dispune efectuarea plăţilor cuvenite proprietarilor de teren forestier care deţin aceste suprafeţe în arii protejate.</w:t>
      </w:r>
    </w:p>
    <w:p w14:paraId="20C209C4"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S-a mai făcut referire, în susţinerea criticii, la dispoziţiile art. 20, art. 6 şi art. 34 alin. 1 din Legea nr. 500/2001, arătându-se, prin prisma acestor prevederi legale, că Statul Român nu trebuie privit ca un general-mandant care acţionează în diverse domenii şi iniţiază reglementări prin intermediul unei diversităţi de instituţii şi autorităţi de tip mandatar.</w:t>
      </w:r>
    </w:p>
    <w:p w14:paraId="4EFD5787"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Obligaţia de acordare a compensaţiilor proprietarilor de păduri din arii protejate nu poate fi considerată o obligaţie neîndeplinită de Statul Român faţă de cetăţenii lui, fiind astfel răspunzător </w:t>
      </w:r>
      <w:r w:rsidRPr="00250C7F">
        <w:rPr>
          <w:rFonts w:ascii="Times New Roman" w:eastAsia="Times New Roman" w:hAnsi="Times New Roman" w:cs="Times New Roman"/>
          <w:sz w:val="24"/>
          <w:szCs w:val="24"/>
          <w:lang w:eastAsia="ro-RO"/>
        </w:rPr>
        <w:lastRenderedPageBreak/>
        <w:t>direct cu privire la modul în care instituţiile sau autorităţile publice îndrituite de lege îndeplinesc faţă de cetăţean obligaţia de rezolvare a modului în care aceştia sunt despăgubiţi.</w:t>
      </w:r>
    </w:p>
    <w:p w14:paraId="6813C024"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Aceasta întrucât există un cadru legal în baza căruia proprietarii de pădure situată în aria protejată pot fi despăgubiţi, respectiv Hotărârea Guvernului nr. 447/2017 pentru aprobarea Normelor metodologice de acordare, utilizare şi control al compensaţiilor reprezentând contravaloarea produselor pe care proprietarii nu le recoltează, datorită funcţiilor de protecţie stabilite prin amenajamente silvice care determină restricţii în recoltarea de masă lemnoasă, decizia Comisiei Europene C (2016) 8.769 final din 3 ianuarie 2017, precum şi prevederile Orientărilor Uniunii Europene privind ajutoarele de stat în sectoarele agricol, forestier şi în zonele rurale 2014-2020 şi art. 97 alin. 1 lit. b din Legea nr. 46/2008.</w:t>
      </w:r>
    </w:p>
    <w:p w14:paraId="58BF06B5"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urmare, în opinia recurentului, nu poate fi reţinută susţinerea reclamantei potrivit căreia „din perspectiva cetăţeanului de rând nu are importanţă care sunt instituţiile răspunzătoare de soluţionarea procedurii de acordare a compensațiilor, câtă vreme Statul, ca entitate, este răspunzător de modalitatea în care raportul juridic este derulat şi finalizat".</w:t>
      </w:r>
    </w:p>
    <w:p w14:paraId="1AEE3704" w14:textId="07D5655B" w:rsidR="007B6852" w:rsidRPr="00250C7F" w:rsidRDefault="007B6852" w:rsidP="00314854">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cauza de faţă, cum legea prevede alte organe responsabile cu punerea în aplicare a dispoziţiilor Legii nr. 46/2008 – Codul Silvic şi a Hotărârii Guvernului nr. 447/2017, înseamnă c</w:t>
      </w:r>
      <w:r w:rsidR="00314854" w:rsidRPr="00250C7F">
        <w:rPr>
          <w:rFonts w:ascii="Times New Roman" w:eastAsia="Times New Roman" w:hAnsi="Times New Roman" w:cs="Times New Roman"/>
          <w:sz w:val="24"/>
          <w:szCs w:val="24"/>
          <w:lang w:eastAsia="ro-RO"/>
        </w:rPr>
        <w:t xml:space="preserve">ă Statul Român prin Ministerul </w:t>
      </w:r>
      <w:r w:rsidRPr="00250C7F">
        <w:rPr>
          <w:rFonts w:ascii="Times New Roman" w:eastAsia="Times New Roman" w:hAnsi="Times New Roman" w:cs="Times New Roman"/>
          <w:sz w:val="24"/>
          <w:szCs w:val="24"/>
          <w:lang w:eastAsia="ro-RO"/>
        </w:rPr>
        <w:t>Finanţelor Publice nu are calitate procesuală în cauză.</w:t>
      </w:r>
    </w:p>
    <w:p w14:paraId="3FC16347"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Recurentul a susţinut, de asemenea, că instanţa de apel nu s-a pronunţat pe excepţia inadmisibilității cererii de chemare în judecată invocată de pârâtul Statul Român prin Ministerul Finanţelor Publice.</w:t>
      </w:r>
    </w:p>
    <w:p w14:paraId="790A77ED"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S-a arătat că din economia dispoziţiilor art. 1.349 Cod civil reiese faptul că orice persoană are îndatorirea să respecte regulile de conduită pe care legea sau obiceiul locului le impune şi să nu aducă atingere, prin acţiunile ori inacţiunile sale, drepturilor sau intereselor legitime ale altor persoane, cel care, având discernământ, încalcă această îndatorire răspunzând de toate prejudiciile cauzate şi fiind obligat să le repare integral.</w:t>
      </w:r>
    </w:p>
    <w:p w14:paraId="21A7B6D6"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continuare, recurentul a făcut trimitere la dispoziţiile art. 1.357 Cod civil care reglementează condiţiile ce trebuie îndeplinite cumulativ pentru angajarea răspunderii civile delictuale.</w:t>
      </w:r>
    </w:p>
    <w:p w14:paraId="3A1DED69"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Cu privire la prima condiţie, respectiv existenţa unui prejudiciu cauzat de pârâtul Statul Român prin Ministerul Finanţelor Publice, s-a arătat că, în cauză, nu se poate reţine existenţa acestuia, atât timp cât obligaţia de acordare a compensaţiilor proprietarilor de păduri din arii protejate nu poate fi considerată o obligaţie neîndeplinită a statului faţă de cetăţenii săi, fiind astfel răspunzător direct faţă de modul în care instituţiile sau autorităţile publice îndrituite de lege îndeplinesc faţă de cetăţean obligaţia de rezolvare a modului în care aceştia sunt despăgubiţi.</w:t>
      </w:r>
    </w:p>
    <w:p w14:paraId="29299B6E"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Pentru ca răspunderea civilă a celui care a cauzat un prejudiciu să fie angajată, nu este suficient să fi existat o faptă ilicită aflată în raport de cauzalitate cu prejudiciul ce a fost produs, ci este necesar ca respectiva faptă să poată fi imputată autorului şi acesta să fi avut o vină atunci când a săvârşit-o, acţionând cu vinovăţie.</w:t>
      </w:r>
    </w:p>
    <w:p w14:paraId="3C3C8CF9"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De asemenea, săvârşirea unei fapte ilicite este o altă condiţie prevăzută expres de textul de lege, or, în cauză, reclamanta nu a arătat care este această faptă. Nu se poate angaja răspunderea civilă delictuală a statului numai pentru faptul că procedura administrativă de soluţionare a cererii reclamantei a trenat mult timp, durata soluţionării unei atare cereri putând fi influenţată, atât de complexitatea acesteia, cât şi de unele modificări legislative intervenite pe parcursul soluţionării. De asemenea, nu există niciun mijloc de probă din care să rezulte faptul că statul, prin Ministerul </w:t>
      </w:r>
      <w:r w:rsidRPr="00250C7F">
        <w:rPr>
          <w:rFonts w:ascii="Times New Roman" w:eastAsia="Times New Roman" w:hAnsi="Times New Roman" w:cs="Times New Roman"/>
          <w:sz w:val="24"/>
          <w:szCs w:val="24"/>
          <w:lang w:eastAsia="ro-RO"/>
        </w:rPr>
        <w:lastRenderedPageBreak/>
        <w:t>Finanţelor Publice, a dat dovadă de rea-credinţă, care să fi condus nejustificat la prelungirea în timp a soluţionării cererii reclamantei de acordare a despăgubirilor pentru imobilul teren în litigiu.</w:t>
      </w:r>
    </w:p>
    <w:p w14:paraId="79F90744"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Chiar dacă din probele administrate rezultă că reclamanta a suferit un prejudiciu material şi moral pe parcursul demersurilor de a intra în posesia suprafeţei de 79,80 ha teren situat pe raza comunei Cireşu, judeţul Mehedinţi sau a despăgubirilor pentru această suprafaţă de teren, nu reiese însă îndeplinirea cumulativă a tuturor condiţiilor cerute de lege pentru angajarea răspunderii civile delictuale, respectiv fapta ilicită, legătura de cauzalitate între faptă, prejudiciu şi vinovăţia pârâtului, în sensul că fapta ilicită i-ar fi imputabilă acestuia.</w:t>
      </w:r>
    </w:p>
    <w:p w14:paraId="6198C199"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Ca atare, a apreciat recurentul ca nefiind îndeplinită nici cea de-a treia condiţie privind existenţa raportului de cauzalitate. </w:t>
      </w:r>
    </w:p>
    <w:p w14:paraId="3C47FB33"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Statul prin Ministerul Finanţelor Publice nu răspunde sub nicio formă şi nu poate acorda diverse despăgubiri, decât în cazul în care răspunderea este prevăzută în mod expres prin legi speciale.</w:t>
      </w:r>
    </w:p>
    <w:p w14:paraId="307CAD98"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Astfel fiind, acţiunea în pretenţii a reclamantei faţă de Statul Român prin Ministerul Finanţelor Publice este inadmisibilă atât timp cât nu sunt îndeplinite condiţiile legale de atragere a răspunderii administrativ – reparatorii a statului pentru eventuale prejudicii prin acte sau fapte administrative.</w:t>
      </w:r>
    </w:p>
    <w:p w14:paraId="3A1C606F" w14:textId="1DB55CAB"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w:t>
      </w:r>
      <w:r w:rsidR="001A6594"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sz w:val="24"/>
          <w:szCs w:val="24"/>
          <w:lang w:eastAsia="ro-RO"/>
        </w:rPr>
        <w:t>Recurentul a mai criticat decizia din apel şi sub aspectul cuantumului despăgubirilor morale, arătând că suma de 30.000 eu este disproporţionată faţă de criteriile obiective ce se impun a fi avute în vedere în aprecierea evaluării suferinţelor şi atingerilor aduse drepturilor fundamentale ale reclamantei, stabilirea întinderii acestor daune trebuind să respecte principiul acordării unei juste despăgubiri.</w:t>
      </w:r>
    </w:p>
    <w:p w14:paraId="6DAC4F59"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urmare, în opinia recurentului, nu se poate analiza latura subiectivă a stării de fapt care a generat prejudiciul moral, atât timp cât nu există criterii la care să se poată raporta cu privire la evaluarea impactului moral asupra celui care se consideră îndreptăţit să formuleze o astfel de cerere.</w:t>
      </w:r>
    </w:p>
    <w:p w14:paraId="066CFF0C"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prisma art. 249 Cod procedură civilă şi a unor decizii de speţă ale Înaltei Curţi, recurentul a susținut că reclamanta trebuia să facă dovada tuturor condiţiilor cerute de lege, iar la stabilirea prejudiciului trebuie avute în vedere criterii precum consecinţele negative suferite de cel în cauză pe plan fizic şi psihic, importanţa valorilor morale lezate, măsura în care au fost lezate şi intensitatea cu care au fost percepute consecinţele vătămării, măsura afectării situaţiei materiale, familiale, profesionale şi sociale.</w:t>
      </w:r>
    </w:p>
    <w:p w14:paraId="1E8130A0"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Partea care solicită acordarea daunelor morale este obligată să dovedească producerea prejudiciului şi legătura de cauzalitate dintre prejudiciu şi fapta autorităţii, iar în cauza dedusă judecăţii, aceste elemente ale răspunderii civile delictuale nu au fost dovedite.</w:t>
      </w:r>
    </w:p>
    <w:p w14:paraId="5D33259E"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materia daunelor morale, principiul reparării integrale a prejudiciului nu poate avea decât un caracter aproximativ, stabilirea cuantumului despăgubirilor echivalente unui prejudiciu nepatrimonial incluzând o doză apreciabilă de arbitrar.</w:t>
      </w:r>
    </w:p>
    <w:p w14:paraId="0E3700C8"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Ca atare, instanţa trebuia să analizeze cererea raportat la toate aceste criterii, în limitele administrării probatoriului pertinent şi util cauzei.</w:t>
      </w:r>
    </w:p>
    <w:p w14:paraId="6F25BF16" w14:textId="77777777" w:rsidR="007B6852" w:rsidRPr="00250C7F" w:rsidRDefault="007B6852" w:rsidP="007B6852">
      <w:pPr>
        <w:numPr>
          <w:ilvl w:val="0"/>
          <w:numId w:val="42"/>
        </w:numPr>
        <w:shd w:val="clear" w:color="auto" w:fill="FFFFFF"/>
        <w:spacing w:after="0" w:line="276" w:lineRule="auto"/>
        <w:contextualSpacing/>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Apărările formulate în cauză</w:t>
      </w:r>
    </w:p>
    <w:p w14:paraId="1620A54F"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întâmpinarea formulată, intimata-reclamantă A. a solicitat, în principal, constatarea nulităţii recursului, iar în subsidiar, respingerea acestuia, ca nefondat.</w:t>
      </w:r>
    </w:p>
    <w:p w14:paraId="7D7273FA"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În susţinerea excepţiei nulităţii, a arătat că niciunul dintre motivele expres şi limitativ </w:t>
      </w:r>
      <w:r w:rsidRPr="00250C7F">
        <w:rPr>
          <w:rFonts w:ascii="Times New Roman" w:eastAsia="Times New Roman" w:hAnsi="Times New Roman" w:cs="Times New Roman"/>
          <w:sz w:val="24"/>
          <w:szCs w:val="24"/>
        </w:rPr>
        <w:lastRenderedPageBreak/>
        <w:t>prevăzute de art. 488 Cod procedură civilă nu reglementează posibilitatea ca instanţa de recurs să poată reanaliza probele şi să reevalueze situaţia de fapt.</w:t>
      </w:r>
    </w:p>
    <w:p w14:paraId="2AD84B70"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Or, în speţă, a considerat că în mod formal au fost invocate prevederile pct. 6 al art. 488 Cod procedură civilă, susţinerile recurentei, în sensul că instanţa de apel nu ar fi analizat şi nu s-ar fi pronunţat pe excepţiile lipsei calităţii procesuale pasive a pârâtului şi inadmisibilităţii cererii de chemare în judecată reprezentând mai degrabă nemulţumiri faţă de soluţia dată de instanţa de apel celor două excepţii.</w:t>
      </w:r>
    </w:p>
    <w:p w14:paraId="46D2C6DA"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A mai arătat că s-au reiterat motivele de apel şi că al treilea motiv de recurs nu cuprinde critici referitoare la decizia instanţei de apel, care să poată fi încadrate în motivele de casare prevăzute de art. 488 Cod procedură civilă.</w:t>
      </w:r>
    </w:p>
    <w:p w14:paraId="1F2377C2"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Criticile recurentei nu dezvoltă încălcarea sau aplicarea greşită a vreunei norme de drept material privind acordarea daunelor morale întemeiată pe atragerea răspunderii delictuale, ci se reduc la modul de apreciere a situaţiei de fapt şi a probelor administrate, vizând mai degrabă neîndeplinirea condiţiilor de admisibilitate a acţiunii, din punctul de vedere al pârâtului.</w:t>
      </w:r>
    </w:p>
    <w:p w14:paraId="2EB609CC"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 teză subsidiară, dacă se va trece peste excepţia invocată, intimata – reclamantă a solicit respingerea recursului, ca nefondat, având în vedere că întreaga complexitate a speţei este subsumată conceptului de ranking, descris pe larg în cererea de chemare în judecată ca element nou în psihologia socială, fiind de necontestat posibilitatea sancţionării statului atunci când este încălcat echilibrul necesar manifestării în concret a libertăţii fiecărui individ.</w:t>
      </w:r>
    </w:p>
    <w:p w14:paraId="18A2930E"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Răspunzând în fond criticilor recurentei, referitor la excepţia lipsei calităţii procesuale pasive a pârâtului, a apreciat că, în mod corect, ambele instanţe au reţinut că ea nu se întemeiază pe procedura de acordare a compensaţiilor din Codul Silvic, ci pe tergiversarea lor.</w:t>
      </w:r>
    </w:p>
    <w:p w14:paraId="2FF03F8D"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Răspunderea Statului Român se întemeiază pe hotărârile Curţii Europene a Drepturilor Omului, care au statuat ideea solidarităţii statului cu instituţiile sale, antrenarea răspunderii fiind consacrată începând cu cauza Sabin Popescu vs România, cererea nr. 48102/1999.</w:t>
      </w:r>
    </w:p>
    <w:p w14:paraId="2EC2D84B"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A precizat că acţiunea introductivă de instanţă este una în acordarea de despăgubiri, prevăzută de legislaţia în vigoare şi ca atare ea a fost îndreptată corect împotriva Statului Român, neavând cum să fie inadmisibilă.</w:t>
      </w:r>
    </w:p>
    <w:p w14:paraId="03F08772"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Instanţa europeană a constatat, în numeroase speţe, că este necesar ca dreptul intern să prevadă mecanisme care trebuie să conducă în final la acordarea unor despăgubiri echitabile în cazuri de privare a unuia din atributele proprietăţii.</w:t>
      </w:r>
    </w:p>
    <w:p w14:paraId="3D88DDDB"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Ori de câte ori nu s-a ajuns la această finalitate, Curtea a apreciat că este imperativ ca Statul Român să ia de urgenţă măsuri cu caracter general, care să poată conduce la realizarea efectivă a dreptului la restituire sau la despăgubire, păstrând un just echilibru între diferitele interese în cauză.</w:t>
      </w:r>
    </w:p>
    <w:p w14:paraId="46B3F24D"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Pretenţiile solicitate reprezintă numai daune morale, întemeiate pe răspunderea civilă delictuală, deoarece se solicită repararea unui prejudiciu nepatrimonial (generat de menţinerea unei persoane într-o poziţie de inferioritate economică şi socială), aspectele amintite ca pierderea unor şanse (de a trăi altfel) fiind unele tangenţiale, colaterale, de vătămare cu caracter moral, nicidecum de exprimare sub forma unor daune materiale.</w:t>
      </w:r>
    </w:p>
    <w:p w14:paraId="0063425A"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Cât priveşte cuantumul sumei ce i-a fost acordată cu titlu de daune morale, a apreciat că aceasta este o chestiune de pură apreciere a instanţei, care nu mai poate fi examinată în calea de atac extraordinară a recursului, una ce urmăreşte verificarea conformităţii soluţiei atacate cu normele materiale de drept.</w:t>
      </w:r>
    </w:p>
    <w:p w14:paraId="7AF52A05"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lastRenderedPageBreak/>
        <w:t>Câtă vreme Curtea de Apel Craiova a expus pe larg criteriile sale de apreciere necesare stabilirii cuantumului daunelor morale, a opinat că motivele de recurs ale pârâtului se plasează în afara cadrului legal al materiei.</w:t>
      </w:r>
    </w:p>
    <w:p w14:paraId="2A59EBEB" w14:textId="77777777" w:rsidR="007B6852" w:rsidRPr="00250C7F" w:rsidRDefault="007B6852" w:rsidP="007B6852">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S-a arătat că încercarea de acreditare a ideii că alte instituţii ar trebui să răspundă în dosarul de faţă este consecinţa greşitei înţelegeri a limitelor sesizării instanţei.</w:t>
      </w:r>
    </w:p>
    <w:p w14:paraId="56BC6006" w14:textId="77777777" w:rsidR="007B6852" w:rsidRPr="00250C7F" w:rsidRDefault="007B6852" w:rsidP="007B6852">
      <w:pPr>
        <w:shd w:val="clear" w:color="auto" w:fill="FFFFFF"/>
        <w:spacing w:after="0" w:line="276" w:lineRule="auto"/>
        <w:ind w:firstLine="567"/>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b/>
          <w:bCs/>
          <w:sz w:val="24"/>
          <w:szCs w:val="24"/>
          <w:lang w:eastAsia="ro-RO"/>
        </w:rPr>
        <w:t>II. Soluţia şi considerentele Înaltei Curţi de Casaţie şi Justiţie</w:t>
      </w:r>
    </w:p>
    <w:p w14:paraId="13BCB53A"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Analizând aspectele deduse judecăţii, se constată că acestea sunt susceptibile de încadrare în dispoziţiile art. 488 pct. 5 C.pr.civ. (cele care vizează cadrul procesual al judecăţii), ale art. 488 pct. 6 C.pr.civ. (vizând nemotivarea hotărârii) şi art. 488 pct. 8 C.pr.civ., (neîntrunirea condiţiilor materiale ale răspunderii civile delictuale) astfel încât nu poate fi primită excepţia nulităţii recursului invocată de intimata-reclamantă prin întâmpinare.</w:t>
      </w:r>
    </w:p>
    <w:p w14:paraId="49812CE4"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
          <w:iCs/>
          <w:sz w:val="24"/>
          <w:szCs w:val="24"/>
          <w:lang w:eastAsia="ro-RO"/>
        </w:rPr>
        <w:t>Criticile au însă caracter nefondat</w:t>
      </w:r>
      <w:r w:rsidRPr="00250C7F">
        <w:rPr>
          <w:rFonts w:ascii="Times New Roman" w:eastAsia="Times New Roman" w:hAnsi="Times New Roman" w:cs="Times New Roman"/>
          <w:iCs/>
          <w:sz w:val="24"/>
          <w:szCs w:val="24"/>
          <w:lang w:eastAsia="ro-RO"/>
        </w:rPr>
        <w:t xml:space="preserve"> potrivit considerentelor ce se vor arăta:</w:t>
      </w:r>
    </w:p>
    <w:p w14:paraId="7BA3F0DB"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Este lipsită de fundament şi de corespondent, raportat la conţinutul deciziei, susţinerea recurentului conform căreia instanţa de apel nu s-ar fi pronunţat asupra excepţiei lipsei calităţii procesuale pasive a Statului Român prin Ministerul Finanţelor Publice.</w:t>
      </w:r>
    </w:p>
    <w:p w14:paraId="5B5BED14"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Astfel, potrivit considerentelor deciziei atacate se reţine că legitimarea procesuală a Statului este dată de faptul că, ceea ce a pretins reclamanta prin demersul dedus judecăţii, a fost prejudicierea acesteia ca urmare a activităţii necorespunzătoare a autorităţilor competente ale statului în realizarea şi derularea procedurilor care să facă posibilă acordarea compensaţiilor bănești pentru imposibilitatea exploatării terenului cu vegetaţie forestieră, în suprafaţă de 79,80  ha., proprietatea reclamantei.</w:t>
      </w:r>
    </w:p>
    <w:p w14:paraId="70A30B47"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Aşadar, învestită cu această critică legată de cadrul procesual pasiv al judecăţii, instanţa de apel a analizat-o, dându-i totodată o rezolvare corectă raportat la ceea ce a constituit obiect al învestirii primei instanţe.</w:t>
      </w:r>
    </w:p>
    <w:p w14:paraId="39F49C07"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Contrar poziţiei recurentului (care contrazicându-şi susţinerea iniţială, a nepronunţării instanţei de apel asupra acestui aspect, formulează critici şi pe fondul acestei excepţii), verificarea calităţii procesuale pasive nu trebuia să se realizeze cu referire la autoritatea publică centrală care răspunde de silvicultură şi care, în termenii art. 97 alin. 1 lit. b) din Legea nr. 46/2008 – Codul silvic, trebuie să acorde compensaţiile constând în contravaloarea produselor pe care proprietarii nu le recoltează datorită funcţiilor de protecţie stabilite prin amenajamentele silvice, ca urmare a alocării unor astfel de sume de la bugetul statului.</w:t>
      </w:r>
    </w:p>
    <w:p w14:paraId="78128E7C"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Aceasta întrucât, aşa cum s-a arătat, obiectul cererii de chemare în judecată – în funcţie de care se circumstanţiază şi se analizează cadrul procesual – nu l-a reprezentat obligarea pârâtului la acordarea compensaţiilor prevăzute de art. 97 alin. 1 lit. b) din Legea nr. 46/32008 (demers căruia i s-ar fi opus neurmarea procedurii specifice acordării unor astfel de compensaţii asimilate ajutoarelor de stat), ci plata de despăgubiri pentru neîndeplinirea de către autorităţile statului competente a procedurilor necesare acordării unor astfel de sume, ceea ce a adus atingere, în primul rând, dreptului de proprietate al reclamantei, repercutându-se şi pe planul atributelor personalității (dreptul la demnitate socială şi la nediscriminare economică şi socială generată de conduita autorităţilor statului).</w:t>
      </w:r>
    </w:p>
    <w:p w14:paraId="7AF111FF"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Altfel spus, reclamanta a chemat în judecată Statul în calitatea acestuia de garant al desfăşurării activităţii autorităţilor şi instituţiilor sale cu respectarea drepturilor, libertăţilor şi intereselor legitime ale persoanei.</w:t>
      </w:r>
    </w:p>
    <w:p w14:paraId="0D4C53A8"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lastRenderedPageBreak/>
        <w:t>Aceasta, în contextul în care deşi la nivel legislativ este recunoscut dreptul la compensaţii al proprietarilor unor astfel de terenuri forestiere care nu pot fi exploatate din cauza funcţiilor de protecţie pe care le îndeplinesc amenajamentele silvice, în mod efectiv – aşa cum a arătat şi a probat reclamanta în cauză – astfel de despăgubiri nu au fost acordate întrucât Guvernul nu şi-a îndeplinit obligaţia de a emite Normele metodologice şi a derula procedurile necesare acordării unor astfel de sume considerate ajutoare de stat.</w:t>
      </w:r>
    </w:p>
    <w:p w14:paraId="44321CC9"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De aceea, cadrul judecăţii vizând obligaţia Statului, aşa cum se degaja ea la nivel constituţional (art. 52, art. 1 alin. 3 şi 5 Constituție) de a garanta respectarea drepturilor şi intereselor legitime ale persoanelor şi de a suporta riscul de activitate a autorităţilor sale atunci când, prin acţiune sau lipsa de acţiune a acestora, ele vatămă asemenea drepturi, rezultă că în mod corect instanţa de apel a reţinut legitimarea procesuală pasivă a acestuia.</w:t>
      </w:r>
    </w:p>
    <w:p w14:paraId="5187332B"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Critica recurentului conform căreia instanța nu s-ar fi pronunţat asupra excepţiei inadmisibilităţii acţiunii este, de asemenea, lipsită de orice fundament, având în vedere că în considerentele deciziei atacate se regăseşte analiza instanţei asupra acestui aspect, arătându-se că, în realitate, se face confuzie între admisibilitatea şi caracterul nefondat al unei cereri.</w:t>
      </w:r>
    </w:p>
    <w:p w14:paraId="4AC2E4E4"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În ce priveşte admisibilitatea demersului, s-a constatat că ea nu poate fi reţinută, nefiind oprită de nicio dispoziţie legală sau procedurală prealabilă, necesar a fi îndeplinită înainte de sesizarea instanţei.</w:t>
      </w:r>
    </w:p>
    <w:p w14:paraId="31D3EABA"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În recurs, persistând în aceeaşi confuzie, legată de admisibilitatea respectiv, temeinicia unei cereri de chemare în judecată, sub teza unei nepronunţări asupra inadmisibilității acţiunii, pârâtul invocă, în realitate, neîndeplinirea condiţiilor răspunderii civile delictuale în persoana acestuia.</w:t>
      </w:r>
    </w:p>
    <w:p w14:paraId="29E0AAA1"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Susţinând că nu există o faptă ilicită a Statului şi deci, un prejudiciu cauzat de acesta, recurentul arată că obligaţia de acordare a compensaţiilor băneşti pentru terenuri forestiere, proprietate particulară, ce nu pot fi exploatate (dată fiind funcţia de protecţie pe care o îndeplinesc) nu îi revenea acestuia în mod direct, pentru a i se pune în sarcină neîndeplinirea ei şi de asemenea, nu i se poate imputa o prelungire în timp a procedurilor administrative necesare soluţionării unor astfel de cereri de despăgubiri.</w:t>
      </w:r>
    </w:p>
    <w:p w14:paraId="2AFE99C9"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Aşa cum s-a arătat anterior – în analiza criticii referitoare la calitatea procesuală a Statului – ceea ce a solicitat reclamanta prin acţiunea ce face obiectul judecăţii de faţă, a fost acordarea de despăgubiri pentru tergiversarea nejustificată a procedurilor de către autorităţile competente (în principal, Guvernul şi ministerele implicate în procedura de avizare) care să asigure cadrul normativ adecvat acordării compensaţiilor.</w:t>
      </w:r>
    </w:p>
    <w:p w14:paraId="045E8FD0"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Acest demers în justiţie al reclamantei a urmat altora (lipsite de finalitate) prin care, adresându-se autorităţilor administrative ale statului (Guvern, Ministerul Mediului, Apelor şi Pădurilor, Departamentul Ape, Păduri, Piscicultură) a încercat să-şi valorifice drepturile de creanţă recunoscute de legiuitor sub formă de compensaţii (conform art. 97 alin. 1 lit.b din Legea nr. 46/2008) proprietarilor de terenuri forestiere îndeplinind funcţii de protecţie a mediului.</w:t>
      </w:r>
    </w:p>
    <w:p w14:paraId="3ABFBF3B"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xml:space="preserve">Întrucât acordarea unei asemenea compensaţii, ca de altfel, orice altă formă de sprijin în sectorul forestier se poate realiza, începând cu 1 ianuarie 2010, doar după avizarea schemelor de ajutor de stat prin decizie a Comisiei Europene, pe baza căreia apoi să fie emisă hotărârea de Guvern conţinând Norme metodologice de acordare, utilizare şi control al ajutorului de stat, reclamanta a  promovat anterior şi o astfel de acţiune, de obligare a pârâţilor Guvernul României, Ministerul Mediului, Apelor şi Pădurilor, R.N.P. Romsilva la emiterea hotărârii de Guvern, </w:t>
      </w:r>
      <w:r w:rsidRPr="00250C7F">
        <w:rPr>
          <w:rFonts w:ascii="Times New Roman" w:eastAsia="Times New Roman" w:hAnsi="Times New Roman" w:cs="Times New Roman"/>
          <w:iCs/>
          <w:sz w:val="24"/>
          <w:szCs w:val="24"/>
          <w:lang w:eastAsia="ro-RO"/>
        </w:rPr>
        <w:lastRenderedPageBreak/>
        <w:t>conţinând respectivele norme metodologice (de aplicare a dispoziţiilor din Codul silvic referitoare la compensaţii).</w:t>
      </w:r>
    </w:p>
    <w:p w14:paraId="69181BC3"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Prin sentinţa civilă nr. 55/2016 a Curţii de Apel Craiova – Secţia contencios administrativ şi fiscal, această acţiune a reclamantei a fost respinsă cu motivarea că instanţa nu poate reglementa, în locul Guvernului, normele de acordare a compensaţiilor, întrucât aceasta ar însemna eludarea întregii procedurii prealabile de avizare a hotărârii de Guvern, chiar în contextul în care legiuitorul (prin dispoziţia art. 99 din Legea nr. 46/2008) nu a lăsat la aprecierea Guvernului oportunitatea emiterii unei astfel de hotărâri, ci a impus un anumit termen.</w:t>
      </w:r>
    </w:p>
    <w:p w14:paraId="5CEE062B"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S-a reţinut, totodată, în considerentele sentinţei, că deşi au existat două Decizii ale Comisiei Europene, de avizare a schemei ajutorului de stat (ultima cu valabilitate prelungită până la 30 iunie 2014), pentru această din urmă Decizie cu nr. (C2013) 9369/2013, încă nu a fost adoptat proiectul de hotărâre de Guvern care să conţină normele metodologice de acordare, utilizare şi control al ajutorului de stat pentru compensaţii reprezentând contravaloarea masei lemnoase pe care proprietarii nu o pot recolta. Aceasta, în condiţiile în care Ministerul Mediului, Apelor şi Pădurilor a întocmit proiectul de hotărâre de Guvern privind instituirea schemei de ajutor de stat, transmiţându-l spre avizare externă, procedură de avizare nefinalizată (din partea Ministerului Agriculturii şi Dezvoltării Rurale, Viceprim-Ministrului, Ministrului Dezvoltării Regionale, Ministerului Finanţelor Publice, Ministerului Justiţiei).</w:t>
      </w:r>
    </w:p>
    <w:p w14:paraId="326F82E7"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De asemenea, în legătură cu această procedură a acordării compensaţiilor prevăzute de art. 97 alin. 1 lit. b) din Legea nr. 46/2008 există dezlegarea cu valoare de principiu dată prin Decizia nr. 36/2015 a Înaltei Curți de Casație și Justiție – Completul pentru dezlegarea unor chestiuni de drept, la care a făcut referire reclamanta, decizie conform căreia, pentru acordarea ajutoarelor de stat, după data de 1 ianuarie 2010, trebuie să existe decizia favorabilă a Comisiei Europene privind ajutorul de stat şi să fie adoptate normele metodologice ulterioare de către Guvern.</w:t>
      </w:r>
    </w:p>
    <w:p w14:paraId="7AFDA53E"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A stabilit instanţa supremă, în dezlegarea acestei chestiuni de drept, că „schema de ajutor de stat, având ca temei legal proiectul de hotărâre a Guvernului de aprobare a normelor metodologice, avizată favorabil prin decizia Comisiei Europene nu poate produce efecte juridice decât după adoptarea acestui act normativ intern” (par.74) şi că „</w:t>
      </w:r>
      <w:r w:rsidRPr="00250C7F">
        <w:rPr>
          <w:rFonts w:ascii="Times New Roman" w:eastAsia="Times New Roman" w:hAnsi="Times New Roman" w:cs="Times New Roman"/>
          <w:i/>
          <w:iCs/>
          <w:sz w:val="24"/>
          <w:szCs w:val="24"/>
          <w:lang w:eastAsia="ro-RO"/>
        </w:rPr>
        <w:t>nu există bază legală pentru acordarea compensaţiilor, în lipsa hotărârii Guvernului cu obiectul de reglementare arătat</w:t>
      </w:r>
      <w:r w:rsidRPr="00250C7F">
        <w:rPr>
          <w:rFonts w:ascii="Times New Roman" w:eastAsia="Times New Roman" w:hAnsi="Times New Roman" w:cs="Times New Roman"/>
          <w:iCs/>
          <w:sz w:val="24"/>
          <w:szCs w:val="24"/>
          <w:lang w:eastAsia="ro-RO"/>
        </w:rPr>
        <w:t>”(par.77).</w:t>
      </w:r>
    </w:p>
    <w:p w14:paraId="6FB926BE"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xml:space="preserve">Totodată, s-a statuat că „situaţia juridică determinată de neîndeplinirea acestei condiţii suspensive, </w:t>
      </w:r>
      <w:r w:rsidRPr="00250C7F">
        <w:rPr>
          <w:rFonts w:ascii="Times New Roman" w:eastAsia="Times New Roman" w:hAnsi="Times New Roman" w:cs="Times New Roman"/>
          <w:i/>
          <w:iCs/>
          <w:sz w:val="24"/>
          <w:szCs w:val="24"/>
          <w:lang w:eastAsia="ro-RO"/>
        </w:rPr>
        <w:t>respectiv adoptarea hotărârii Guvernului</w:t>
      </w:r>
      <w:r w:rsidRPr="00250C7F">
        <w:rPr>
          <w:rFonts w:ascii="Times New Roman" w:eastAsia="Times New Roman" w:hAnsi="Times New Roman" w:cs="Times New Roman"/>
          <w:iCs/>
          <w:sz w:val="24"/>
          <w:szCs w:val="24"/>
          <w:lang w:eastAsia="ro-RO"/>
        </w:rPr>
        <w:t>, este aptă să lezeze dreptul la compensaţii pe care îl au proprietarii suprafeţelor forestiere cu funcţie de protecție situate în siturile de importanţă comunitară, însă, pentru aceasta există un alt remediu judiciar”.</w:t>
      </w:r>
    </w:p>
    <w:p w14:paraId="2D104488"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Or, acesta este contextul în care a acţionat reclamanta în prezenta cauză, învestind instanța cu pretenția sa de despăgubire după ce a efectuat toate demersurile permise de cadrul normativ pentru a obţine valorificarea unui drept recunoscut de lege, a cărui punere efectivă în aplicare nu a fost posibilă din cauză că autorităţile competente în materie ale statului nu au realizat, în îndeplinirea atribuţiilor ce le reveneau, derularea procedurilor specifice și necesare acordării unor compensaţii care constituiau, în acelaşi timp, ajutoare de stat.</w:t>
      </w:r>
    </w:p>
    <w:p w14:paraId="6421D279"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xml:space="preserve">Astfel fiind, un drept de creanţă reglementat şi recunoscut de lege în favoarea proprietarilor de terenuri forestiere ca o compensaţie, dată fiind natura şi afectaţiunea specială a bunului din patrimoniul lor, a devenit iluzoriu şi lipsit de substanţă din cauză că autorităţile administrative ale statului, neîndeplinindu-și atribuţiile (în speţă, adoptarea hotărârii de Guvern conţinând normele </w:t>
      </w:r>
      <w:r w:rsidRPr="00250C7F">
        <w:rPr>
          <w:rFonts w:ascii="Times New Roman" w:eastAsia="Times New Roman" w:hAnsi="Times New Roman" w:cs="Times New Roman"/>
          <w:iCs/>
          <w:sz w:val="24"/>
          <w:szCs w:val="24"/>
          <w:lang w:eastAsia="ro-RO"/>
        </w:rPr>
        <w:lastRenderedPageBreak/>
        <w:t>metodologice de acordare a acestor compensaţii) n-au făcut posibilă valorificarea dreptului. În acest sens, inclusiv instanţa de judecată sesizată anterior cu acţiunea aceleiaşi reclamante de obligare a Guvernului la emiterea respectivelor Norme metodologice, care să asigure cadrul normativ adecvat realizării acestor drepturi, a constatat că nu poate suplini această procedură fără nesocotirea principiului separaţiei puterilor în stat.</w:t>
      </w:r>
    </w:p>
    <w:p w14:paraId="00944739"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De aceea, în continuare, acţiunea reclamantei îndreptată împotriva Statului, răspunzător şi garant al desfășurării activităţii autorităţilor şi instituţiilor sale cu respectarea drepturilor şi intereselor legitime ale persoanelor este una care justifică nu doar cadrul procesual pasiv (cum s-a arătat anterior), ci şi condiţiile de fond ale răspunderii delictuale.</w:t>
      </w:r>
    </w:p>
    <w:p w14:paraId="537D1253"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Fundamentul răspunderii statului este unul obiectiv, dat de ideea de garanţie şi de risc în legătură cu activitatea autorităţilor sale, aşa cum se desprinde la nivel de principiu din chiar legea fundamentală, conform dispoziţiilor art. 1 alin. 3 şi 5, art. 52 din Constituţie.</w:t>
      </w:r>
    </w:p>
    <w:p w14:paraId="0034D1F9"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Susţinerea recurentului, că există o autoritate centrală în domeniul silviculturii, prin bugetul căreia se alocă anual sume de bani din bugetul statului pentru plata unor astfel de compensaţii şi împotriva acestei autorități ar fi putut fi îndreptată acţiunea, ignoră deopotrivă fundamentul răspunderii obiective menţionat anterior, precum şi obiectul judecăţii, care nu este dat de obligarea la compensaţiile prevăzute de art. 97 alin. 1 lit. b) din Legea nr. 48/2006 (plata acestora nefiind posibilă fără derularea procedurii specifice menţionate reprezentată de schema ajutorului de stat, decizia Comisiei Europene şi Normele metodologice emise de Guvern). În realitate, pretenția concretă dedusă judecății constă în despăgubiri pentru tergiversarea nejustificată a acestor proceduri, de natură să aducă atingere dreptului de proprietate şi să pună pe reclamantă într-o situaţie de dezavantaj economic şi social în raport cu autorităţile statului, cu tot disconfortul psihic aferent demersurilor efectuate pentru concretizarea unui drept recunoscut prin lege (și rămase fără finalitate).</w:t>
      </w:r>
    </w:p>
    <w:p w14:paraId="0567F7E8"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xml:space="preserve">Astfel fiind, răspunderea civilă a Statului se activează pentru </w:t>
      </w:r>
      <w:r w:rsidRPr="00250C7F">
        <w:rPr>
          <w:rFonts w:ascii="Times New Roman" w:eastAsia="Times New Roman" w:hAnsi="Times New Roman" w:cs="Times New Roman"/>
          <w:i/>
          <w:iCs/>
          <w:sz w:val="24"/>
          <w:szCs w:val="24"/>
          <w:lang w:eastAsia="ro-RO"/>
        </w:rPr>
        <w:t>conduita ilicită</w:t>
      </w:r>
      <w:r w:rsidRPr="00250C7F">
        <w:rPr>
          <w:rFonts w:ascii="Times New Roman" w:eastAsia="Times New Roman" w:hAnsi="Times New Roman" w:cs="Times New Roman"/>
          <w:iCs/>
          <w:sz w:val="24"/>
          <w:szCs w:val="24"/>
          <w:lang w:eastAsia="ro-RO"/>
        </w:rPr>
        <w:t xml:space="preserve"> a autorităţilor sale care nu şi-au îndeplinit atribuţiile ce le reveneau în cadrul competenţelor stabilite de lege (emiterea Normelor metodologice conţinând criteriile şi schema de calcul al compensaţiilor, într-un anumit termen, care să nu lase lipsit de substanţă dreptul), fiind o răspundere obiectivă, bazată, cum s-a menţionat deja, pe ideea de garanţie a Statului şi de risc în legătură cu activitatea necorespunzătoare a organelor și autorităților sale, atunci când ele afectează drepturile şi interesele legitime ale persoanelor.</w:t>
      </w:r>
    </w:p>
    <w:p w14:paraId="009E2679"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De aceea, nu interesează analiza formei de vinovăţie în persoana pârâtului – identificată totuşi, de instanțele de fond, prin aceea că şi cea mai uşoară culpă este suficientă, ea decurgând din împrejurarea că pârâtul putea să prevadă faptul că simpla nerespectare a obligaţiilor legale ale instituţiilor statului era aptă să producă reclamantei un prejudiciu. Aceasta, cu atât mai mult cu cât reclamanta şi-a îndeplinit de-a lungul anilor, la timp şi în mod complet, obligaţiile sale de plată a impozitului şi de asigurare a pazei pădurii, cu un efort financiar considerabil, fără ca, la rândul ei, să poată beneficia de plata compensaţiilor corespunzătoare, periclitând siguranţa materială a familiei.</w:t>
      </w:r>
    </w:p>
    <w:p w14:paraId="4E36B1BB"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Pentru argumentele arătate anterior, în legătură cu fundamentul răspunderii Statului, raportat la datele concrete ale speţei, această analiză a condiţiei vinovăţiei regăsită în decizia recurată se constituie în considerente care nu au caracter necesar, de natură să intre în autoritate de lucru judecat şi să sprijine soluţia din dispozitiv.</w:t>
      </w:r>
    </w:p>
    <w:p w14:paraId="234D2853"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iCs/>
          <w:sz w:val="24"/>
          <w:szCs w:val="24"/>
          <w:lang w:eastAsia="ro-RO"/>
        </w:rPr>
        <w:lastRenderedPageBreak/>
        <w:t xml:space="preserve">În ce privește </w:t>
      </w:r>
      <w:r w:rsidRPr="00250C7F">
        <w:rPr>
          <w:rFonts w:ascii="Times New Roman" w:eastAsia="Times New Roman" w:hAnsi="Times New Roman" w:cs="Times New Roman"/>
          <w:i/>
          <w:iCs/>
          <w:sz w:val="24"/>
          <w:szCs w:val="24"/>
          <w:lang w:eastAsia="ro-RO"/>
        </w:rPr>
        <w:t>prejudiciul</w:t>
      </w:r>
      <w:r w:rsidRPr="00250C7F">
        <w:rPr>
          <w:rFonts w:ascii="Times New Roman" w:eastAsia="Times New Roman" w:hAnsi="Times New Roman" w:cs="Times New Roman"/>
          <w:iCs/>
          <w:sz w:val="24"/>
          <w:szCs w:val="24"/>
          <w:lang w:eastAsia="ro-RO"/>
        </w:rPr>
        <w:t xml:space="preserve"> creat, recurentul recunoaște că „deși a rezultat </w:t>
      </w:r>
      <w:r w:rsidRPr="00250C7F">
        <w:rPr>
          <w:rFonts w:ascii="Times New Roman" w:eastAsia="Times New Roman" w:hAnsi="Times New Roman" w:cs="Times New Roman"/>
          <w:sz w:val="24"/>
          <w:szCs w:val="24"/>
          <w:lang w:eastAsia="ro-RO"/>
        </w:rPr>
        <w:t>din probele administrate că reclamanta a suferit un prejudiciu material şi moral pe parcursul demersurilor de a intra în posesia suprafeţei de 79,80 ha teren situat pe raza comunei Cireşu, judeţul Mehedinţi sau a despăgubirilor pentru această suprafaţă de teren”, totuși, acesta nu s-ar afla într-un raport de cauzalitate cu vreo faptă ilicită, câtă vreme o astfel de acțiune nu îi este imputabilă.</w:t>
      </w:r>
    </w:p>
    <w:p w14:paraId="6210AACD"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Contrar susținerii recurentului, prejudiciul reclamat în cauză este consecința directă a conduitei ilicite descrise anterior (inacțiuni ale autorităților statului care au condus la nesocotirea cadrului normativ și atingerea drepturilor legitime ale persoanei), aptă să angajeze răspunderea statului.</w:t>
      </w:r>
    </w:p>
    <w:p w14:paraId="34757295" w14:textId="77777777" w:rsidR="007B6852" w:rsidRPr="00250C7F" w:rsidRDefault="007B6852" w:rsidP="007B6852">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Ca atare, raportul de cauzalitate între faptă și prejudiciu este inerent, decurgând din încălcarea respectiv, împiedicarea exercițiului efectiv al unui drept subiectiv fundamental.</w:t>
      </w:r>
    </w:p>
    <w:p w14:paraId="18B99E7D"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xml:space="preserve">- Referitor la </w:t>
      </w:r>
      <w:r w:rsidRPr="00250C7F">
        <w:rPr>
          <w:rFonts w:ascii="Times New Roman" w:eastAsia="Times New Roman" w:hAnsi="Times New Roman" w:cs="Times New Roman"/>
          <w:i/>
          <w:iCs/>
          <w:sz w:val="24"/>
          <w:szCs w:val="24"/>
          <w:lang w:eastAsia="ro-RO"/>
        </w:rPr>
        <w:t>cuantumul prejudiciului</w:t>
      </w:r>
      <w:r w:rsidRPr="00250C7F">
        <w:rPr>
          <w:rFonts w:ascii="Times New Roman" w:eastAsia="Times New Roman" w:hAnsi="Times New Roman" w:cs="Times New Roman"/>
          <w:iCs/>
          <w:sz w:val="24"/>
          <w:szCs w:val="24"/>
          <w:lang w:eastAsia="ro-RO"/>
        </w:rPr>
        <w:t>, apreciat de instanţele fondului la suma de 10.000 eu, recurentul susţine iarăşi fără temei şi corespondent în decizia atacată, că este disproporţionat, fiind stabilită cu ignorarea criteriilor obiective, valoarea despăgubirilor, de 30.000 eu.</w:t>
      </w:r>
    </w:p>
    <w:p w14:paraId="2401EB84"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Separat de inadvertenţa şi eroarea în care se află recurentul în legătură cu întinderea sumei la plată căreia a fost obligat, Înalta Curte constată că în cuantificarea prejudiciului instanţele de fond au operat cu criterii dezvoltate în jurisprudenţa naţională şi a instanţei de contencios european în materia despăgubirilor morale.</w:t>
      </w:r>
    </w:p>
    <w:p w14:paraId="78B4F314"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xml:space="preserve">Astfel, distinct de faptul că s-a ţinut seama, cum în mod obişnuit se procedează în astfel de situaţii, de o evaluare în echitate, cu păstrarea raportului de proporționalitate şi a justului echilibru între interesele particulare şi cele generale, instanţele de fond au avut în vedere împrejurările circumstanţiale ale cauzei, date de nenumăratele demersuri întreprinse de reclamantă pentru a beneficia de dispoziţiile unei legi ce îi erau aplicabile, demersuri rămase lipsite de finalitate din cauza conduitei inadecvate, cu nesocotirea cadrului legal, a autorităţilor administrative ale statului. </w:t>
      </w:r>
    </w:p>
    <w:p w14:paraId="50DE3515"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În acest sens, s-a ținut seama de stresul şi disconfortul moral create reclamantei din cauza neîndeplinirii obligaţiilor stabilite prin lege tocmai de către autoritatea executivă a statului, cu atribuții în legătură cu adoptarea măsurilor de organizare a executării şi aplicării legii. S-a reținut că, dimpotrivă, această autoritate a împiedicat finalizarea procedurilor de acordare a compensaţiilor (plata acestora nefiind posibilă în absenţa hotărârii de Guvern conţinând schema şi criteriile de plată, dată fiind natura juridică a acestor sume, considerate ajutoare de stat) deşi exista proiectul acestui act normativ întocmit de ministerul de resort.</w:t>
      </w:r>
    </w:p>
    <w:p w14:paraId="77A75957"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Îndreptăţirea la acest tip de despăgubiri morale este cu atât mai justificată, cu cât reclamanta s-a aflat în imposibilitate de a solicita daune materiale (echivalentul compensaţiilor de care a fost lipsită) câtă vreme s-a stabilit deja printr-o hotărâre judecătorească pronunţată în contradictoriu cu aceasta, precum şi printr-o decizie conţinând o dezlegare cu valoare de principiu a instanţei supreme, că în absenţa unei hotărâri de Guvern care să constituie baza legală a acordării acestor despăgubiri materiale, instanţa nu poate dispune în acest sens, întrucât ar însemna o imixtiune în sfera atribuţiilor altei puteri.</w:t>
      </w:r>
    </w:p>
    <w:p w14:paraId="6A1B6254" w14:textId="77777777"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Toate circumstanţele factuale ale cauzei, precum şi modalitatea în care acestea s-au repercutat pe plan psihic (frustrarea în raport cu autorităţile statului, discriminarea economico-socială, afectarea demnităţii sociale) au fost avute în vedere împreună cu criteriile de echitate şi proporţionalitate care funcţionează în materia daunelor morale, atunci când s-a stabilit întinderea despăgubirilor de către instanţele fondului.</w:t>
      </w:r>
    </w:p>
    <w:p w14:paraId="379816F2" w14:textId="32979EB3" w:rsidR="007B6852" w:rsidRPr="00250C7F" w:rsidRDefault="007B6852" w:rsidP="007B685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lastRenderedPageBreak/>
        <w:t>Față de toate considerentele arătate, criticile deduse judecății au fost constatate nefondate, recursul fiind respins în consecință.</w:t>
      </w:r>
    </w:p>
    <w:p w14:paraId="7DAFFEB5" w14:textId="2A98B04E" w:rsidR="00781F75" w:rsidRPr="00250C7F" w:rsidRDefault="00781F75" w:rsidP="007B6852">
      <w:pPr>
        <w:spacing w:after="0" w:line="276" w:lineRule="auto"/>
        <w:ind w:firstLine="567"/>
        <w:contextualSpacing/>
        <w:jc w:val="both"/>
        <w:rPr>
          <w:rFonts w:ascii="Times New Roman" w:eastAsia="Times New Roman" w:hAnsi="Times New Roman" w:cs="Times New Roman"/>
          <w:iCs/>
          <w:sz w:val="24"/>
          <w:szCs w:val="24"/>
          <w:lang w:eastAsia="ro-RO"/>
        </w:rPr>
      </w:pPr>
    </w:p>
    <w:p w14:paraId="3EB0687E" w14:textId="77777777" w:rsidR="00581DC1" w:rsidRPr="00250C7F" w:rsidRDefault="00581DC1" w:rsidP="00C7648A">
      <w:pPr>
        <w:spacing w:after="0" w:line="276" w:lineRule="auto"/>
        <w:ind w:firstLine="567"/>
        <w:contextualSpacing/>
        <w:jc w:val="both"/>
        <w:rPr>
          <w:rFonts w:ascii="Times New Roman" w:eastAsia="Times New Roman" w:hAnsi="Times New Roman" w:cs="Times New Roman"/>
          <w:iCs/>
          <w:sz w:val="24"/>
          <w:szCs w:val="24"/>
          <w:lang w:eastAsia="ro-RO"/>
        </w:rPr>
      </w:pPr>
    </w:p>
    <w:p w14:paraId="6BB0AD83" w14:textId="6452ED40" w:rsidR="00781F75" w:rsidRPr="00250C7F" w:rsidRDefault="00781F75" w:rsidP="00C7648A">
      <w:pPr>
        <w:pStyle w:val="Heading3"/>
        <w:spacing w:before="0" w:line="276" w:lineRule="auto"/>
        <w:jc w:val="both"/>
        <w:rPr>
          <w:rFonts w:ascii="Times New Roman" w:eastAsia="Times New Roman" w:hAnsi="Times New Roman" w:cs="Times New Roman"/>
          <w:b/>
          <w:bCs/>
          <w:iCs/>
          <w:color w:val="auto"/>
          <w:lang w:eastAsia="ro-RO"/>
        </w:rPr>
      </w:pPr>
      <w:bookmarkStart w:id="14" w:name="_Toc84584804"/>
      <w:r w:rsidRPr="00250C7F">
        <w:rPr>
          <w:rFonts w:ascii="Times New Roman" w:eastAsia="Times New Roman" w:hAnsi="Times New Roman" w:cs="Times New Roman"/>
          <w:b/>
          <w:bCs/>
          <w:iCs/>
          <w:color w:val="auto"/>
          <w:lang w:eastAsia="ro-RO"/>
        </w:rPr>
        <w:t>4. Acțiune în răspundere civilă delictuală pentru prejudiciul pretins a fi suferit ca urmare a neîndeplinirii de către avocat a obligațiilor ce-i reveneau în temeiul contractului de asistență juridică. Raportul dintre răspunderea civilă delictuală și răspunderea contractuală</w:t>
      </w:r>
      <w:bookmarkEnd w:id="14"/>
      <w:r w:rsidRPr="00250C7F">
        <w:rPr>
          <w:rFonts w:ascii="Times New Roman" w:eastAsia="Times New Roman" w:hAnsi="Times New Roman" w:cs="Times New Roman"/>
          <w:b/>
          <w:bCs/>
          <w:iCs/>
          <w:color w:val="auto"/>
          <w:lang w:eastAsia="ro-RO"/>
        </w:rPr>
        <w:t xml:space="preserve"> </w:t>
      </w:r>
    </w:p>
    <w:p w14:paraId="5C649E2C" w14:textId="77777777" w:rsidR="00581DC1" w:rsidRPr="00250C7F" w:rsidRDefault="00581DC1" w:rsidP="00C7648A">
      <w:pPr>
        <w:spacing w:after="0" w:line="240" w:lineRule="auto"/>
        <w:contextualSpacing/>
        <w:jc w:val="both"/>
        <w:rPr>
          <w:rFonts w:ascii="Times New Roman" w:eastAsia="Times New Roman" w:hAnsi="Times New Roman" w:cs="Times New Roman"/>
          <w:b/>
          <w:bCs/>
          <w:iCs/>
          <w:sz w:val="24"/>
          <w:szCs w:val="24"/>
          <w:lang w:eastAsia="ro-RO"/>
        </w:rPr>
      </w:pPr>
    </w:p>
    <w:p w14:paraId="162852AB" w14:textId="77777777" w:rsidR="00781F75" w:rsidRPr="00250C7F" w:rsidRDefault="00781F75" w:rsidP="00C7648A">
      <w:pPr>
        <w:spacing w:after="0" w:line="240" w:lineRule="auto"/>
        <w:ind w:left="720"/>
        <w:contextualSpacing/>
        <w:jc w:val="right"/>
        <w:rPr>
          <w:rFonts w:ascii="Times New Roman" w:eastAsia="Times New Roman" w:hAnsi="Times New Roman" w:cs="Times New Roman"/>
          <w:sz w:val="24"/>
          <w:szCs w:val="24"/>
          <w:lang w:eastAsia="ro-RO"/>
        </w:rPr>
      </w:pPr>
      <w:r w:rsidRPr="00250C7F">
        <w:rPr>
          <w:rFonts w:ascii="Arial Narrow" w:eastAsia="Times New Roman" w:hAnsi="Arial Narrow" w:cs="Times New Roman"/>
          <w:sz w:val="24"/>
          <w:szCs w:val="24"/>
          <w:lang w:eastAsia="ro-RO"/>
        </w:rPr>
        <w:t xml:space="preserve">                                                                     </w:t>
      </w:r>
      <w:r w:rsidRPr="00250C7F">
        <w:rPr>
          <w:rFonts w:ascii="Times New Roman" w:eastAsia="Times New Roman" w:hAnsi="Times New Roman" w:cs="Times New Roman"/>
          <w:sz w:val="24"/>
          <w:szCs w:val="24"/>
          <w:lang w:eastAsia="ro-RO"/>
        </w:rPr>
        <w:t>C.civ., art. 1350 alin. 3</w:t>
      </w:r>
    </w:p>
    <w:p w14:paraId="23F81907"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            </w:t>
      </w:r>
    </w:p>
    <w:p w14:paraId="7FE4F024" w14:textId="77777777" w:rsidR="00781F75" w:rsidRPr="00250C7F" w:rsidRDefault="00781F75" w:rsidP="00781F75">
      <w:pPr>
        <w:spacing w:after="0" w:line="276" w:lineRule="auto"/>
        <w:jc w:val="both"/>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i/>
          <w:sz w:val="24"/>
          <w:szCs w:val="24"/>
          <w:lang w:eastAsia="ro-RO"/>
        </w:rPr>
        <w:t xml:space="preserve">             Regimul juridic al răspunderii contractuale este special, derogator faţă de regimul de drept comun al răspunderii delictuale şi se activează ori de câte ori între părţi există o legătură contractuală (în timp ce răspunderea delictuală funcţionează în toate situaţiile în care există obligaţia legală de a repara un prejudiciu suferit de o altă persoană în afara oricărei relaţii contractuale cu victima). În acest sens, dispoziţiile art. 1.350 alin. (3) din Codul civil stipulează expres că „Dacă prin lege nu se prevede altfel, niciuna dintre părţi nu poate înlătura aplicarea regulilor răspunderii contractuale pentru a opta în favoarea altor reguli care i-ar fi mai favorabile”.</w:t>
      </w:r>
    </w:p>
    <w:p w14:paraId="0CDD83AD" w14:textId="77777777" w:rsidR="00781F75" w:rsidRPr="00250C7F" w:rsidRDefault="00781F75" w:rsidP="00781F75">
      <w:pPr>
        <w:spacing w:after="0" w:line="276" w:lineRule="auto"/>
        <w:jc w:val="both"/>
        <w:rPr>
          <w:rFonts w:ascii="Times New Roman" w:eastAsia="Times New Roman" w:hAnsi="Times New Roman" w:cs="Times New Roman"/>
          <w:i/>
          <w:sz w:val="24"/>
          <w:szCs w:val="24"/>
        </w:rPr>
      </w:pPr>
      <w:r w:rsidRPr="00250C7F">
        <w:rPr>
          <w:rFonts w:ascii="Times New Roman" w:eastAsia="Times New Roman" w:hAnsi="Times New Roman" w:cs="Times New Roman"/>
          <w:i/>
          <w:sz w:val="24"/>
          <w:szCs w:val="24"/>
          <w:lang w:eastAsia="ro-RO"/>
        </w:rPr>
        <w:t xml:space="preserve">             Ca atare, câtă vreme între părţi au existat raporturi juridice contractuale (respectiv, contractul de asistenţă juridică), singura formă de răspundere ce poate fi angajată în legătură cu neîndeplinirea obligaţiilor asumate prin convenţie este răspunderea contractuală, neexistând un drept de opțiune al reclamantului în acest sens.</w:t>
      </w:r>
    </w:p>
    <w:p w14:paraId="29113B39" w14:textId="77777777" w:rsidR="00781F75" w:rsidRPr="00250C7F" w:rsidRDefault="00781F75" w:rsidP="00781F75">
      <w:pPr>
        <w:spacing w:after="0" w:line="276" w:lineRule="auto"/>
        <w:jc w:val="center"/>
        <w:rPr>
          <w:rFonts w:ascii="Times New Roman" w:eastAsia="Times New Roman" w:hAnsi="Times New Roman" w:cs="Times New Roman"/>
          <w:b/>
          <w:sz w:val="24"/>
          <w:szCs w:val="24"/>
          <w:lang w:eastAsia="ro-RO"/>
        </w:rPr>
      </w:pPr>
    </w:p>
    <w:p w14:paraId="1519B61A"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I.C.C.J., Secţia I civilă, decizia nr. 114 din 17 ianuarie 2021</w:t>
      </w:r>
    </w:p>
    <w:p w14:paraId="166BC65C"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p>
    <w:p w14:paraId="3FA572C4" w14:textId="51E18C94" w:rsidR="00781F75" w:rsidRPr="00250C7F" w:rsidRDefault="00781F75" w:rsidP="00781F75">
      <w:pPr>
        <w:shd w:val="clear" w:color="auto" w:fill="FFFFFF"/>
        <w:spacing w:after="0" w:line="276" w:lineRule="auto"/>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 xml:space="preserve">        I. Circumstanţele cauzei</w:t>
      </w:r>
    </w:p>
    <w:p w14:paraId="49309DA6" w14:textId="77777777" w:rsidR="00781F75" w:rsidRPr="00250C7F" w:rsidRDefault="00781F75" w:rsidP="00781F75">
      <w:pPr>
        <w:numPr>
          <w:ilvl w:val="0"/>
          <w:numId w:val="44"/>
        </w:numPr>
        <w:shd w:val="clear" w:color="auto" w:fill="FFFFFF"/>
        <w:spacing w:after="0" w:line="276" w:lineRule="auto"/>
        <w:contextualSpacing/>
        <w:jc w:val="both"/>
        <w:rPr>
          <w:rFonts w:ascii="Times New Roman" w:eastAsia="Times New Roman" w:hAnsi="Times New Roman" w:cs="Times New Roman"/>
          <w:b/>
          <w:bCs/>
          <w:iCs/>
          <w:sz w:val="24"/>
          <w:szCs w:val="24"/>
          <w:lang w:eastAsia="ro-RO"/>
        </w:rPr>
      </w:pPr>
      <w:r w:rsidRPr="00250C7F">
        <w:rPr>
          <w:rFonts w:ascii="Times New Roman" w:eastAsia="Times New Roman" w:hAnsi="Times New Roman" w:cs="Times New Roman"/>
          <w:b/>
          <w:bCs/>
          <w:iCs/>
          <w:sz w:val="24"/>
          <w:szCs w:val="24"/>
          <w:lang w:eastAsia="ro-RO"/>
        </w:rPr>
        <w:t>Obiectul cauzei</w:t>
      </w:r>
    </w:p>
    <w:p w14:paraId="691CB7FA" w14:textId="77777777" w:rsidR="00781F75" w:rsidRPr="00250C7F" w:rsidRDefault="00781F75" w:rsidP="00781F75">
      <w:pPr>
        <w:spacing w:after="0" w:line="276" w:lineRule="auto"/>
        <w:ind w:firstLine="63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iCs/>
          <w:sz w:val="24"/>
          <w:szCs w:val="24"/>
          <w:lang w:eastAsia="ro-RO"/>
        </w:rPr>
        <w:t>Prin cererea de chemare în judecată înregistrată pe rolul Tribunalului Cluj, Secţia civilă la data de 7.11.2018, Administraţia Patrimoniului Protocolului de Stat Bucureşti - RAAPPS Bucureşti - Sucursala de Reprezentare şi Protocol Victoria Cluj (SRP Victoria),</w:t>
      </w:r>
      <w:r w:rsidRPr="00250C7F">
        <w:rPr>
          <w:rFonts w:ascii="Times New Roman" w:eastAsia="Times New Roman" w:hAnsi="Times New Roman" w:cs="Times New Roman"/>
          <w:sz w:val="24"/>
          <w:szCs w:val="24"/>
          <w:lang w:eastAsia="ro-RO"/>
        </w:rPr>
        <w:t xml:space="preserve"> în temeiul art. 1349, art. 1357, art. 1358, art. 1359, art. 1381, art. 1385, art. 1386 Cod civil  coroborate cu prevederile art. 194 şi următ. Cod procedură civilă, a solicitat, în contradictoriu cu pârâtul Cabinet Individual de Avocat A., obligarea acestuia, la plata, către reclamantă, a sumei de </w:t>
      </w:r>
      <w:r w:rsidRPr="00250C7F">
        <w:rPr>
          <w:rFonts w:ascii="Times New Roman" w:eastAsia="Times New Roman" w:hAnsi="Times New Roman" w:cs="Times New Roman"/>
          <w:bCs/>
          <w:sz w:val="24"/>
          <w:szCs w:val="24"/>
          <w:lang w:eastAsia="ro-RO"/>
        </w:rPr>
        <w:t>136.530 euro, echivalentul în lei în sumă de 636.516,51 lei la cursul BNR din data de 2 noiembrie 2018,</w:t>
      </w:r>
      <w:r w:rsidRPr="00250C7F">
        <w:rPr>
          <w:rFonts w:ascii="Times New Roman" w:eastAsia="Times New Roman" w:hAnsi="Times New Roman" w:cs="Times New Roman"/>
          <w:sz w:val="24"/>
          <w:szCs w:val="24"/>
          <w:lang w:eastAsia="ro-RO"/>
        </w:rPr>
        <w:t xml:space="preserve"> sumă reprezentând contravaloarea terenului în suprafaţă de 13.653 mp, situat în comuna Apahida, teren identificat în CF nr. 56059 Sânicoara, cu număr cadastral 56059, ce se identifică cu terenul în aceeaşi suprafaţă din vechiul CF nr. 118 Sânicoara, cu numerele cadastrale 242, 243, 244, cu privire la care reclamanta a fost executată silit în dosarul execuţional nr. x/2015 al SCPEJ B., ca urmare a faptului că pârâta, în calitate de avocată a reclamantei, nu a formulat în termen contestaţie la executare împotriva executării silite pornite în dosarul execuţional mai sus amintit, precum şi datorită faptului că aceasta nu a formulat contestaţie la executare împotriva procesului-verbal din data de 3.12.2015 din dosarul execuţional nr. x/2015 al SCPEJ B., proces-verbal ce i-a fost comunicat acesteia la data de 10.12.2015, cu cheltuieli de judecată constând în taxe de timbru, onorariu expert şi orice alte cheltuieli ocazionate pe parcursul desfăşurării cauzei.</w:t>
      </w:r>
    </w:p>
    <w:p w14:paraId="0DCAE763" w14:textId="77777777" w:rsidR="00781F75" w:rsidRPr="00250C7F" w:rsidRDefault="00781F75" w:rsidP="00781F75">
      <w:pPr>
        <w:spacing w:after="0" w:line="276" w:lineRule="auto"/>
        <w:ind w:firstLine="630"/>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lastRenderedPageBreak/>
        <w:t xml:space="preserve">Prin cererea precizatoare formulată la data de 9.04.2019, reclamanta a arătat că solicită obligarea pârâtei la plata sumei de </w:t>
      </w:r>
      <w:r w:rsidRPr="00250C7F">
        <w:rPr>
          <w:rFonts w:ascii="Times New Roman" w:eastAsia="Times New Roman" w:hAnsi="Times New Roman" w:cs="Times New Roman"/>
          <w:bCs/>
          <w:iCs/>
          <w:sz w:val="24"/>
          <w:szCs w:val="24"/>
          <w:lang w:eastAsia="ro-RO"/>
        </w:rPr>
        <w:t>988.477,2 lei,</w:t>
      </w:r>
      <w:r w:rsidRPr="00250C7F">
        <w:rPr>
          <w:rFonts w:ascii="Times New Roman" w:eastAsia="Times New Roman" w:hAnsi="Times New Roman" w:cs="Times New Roman"/>
          <w:iCs/>
          <w:sz w:val="24"/>
          <w:szCs w:val="24"/>
          <w:lang w:eastAsia="ro-RO"/>
        </w:rPr>
        <w:t xml:space="preserve"> reprezentând contravaloarea în lei a terenului mai sus menţionat.</w:t>
      </w:r>
    </w:p>
    <w:p w14:paraId="3C1B7437" w14:textId="24668983" w:rsidR="00781F75" w:rsidRPr="00250C7F" w:rsidRDefault="00781F75" w:rsidP="00781F75">
      <w:pPr>
        <w:shd w:val="clear" w:color="auto" w:fill="FFFFFF"/>
        <w:spacing w:after="0" w:line="276" w:lineRule="auto"/>
        <w:ind w:left="360"/>
        <w:jc w:val="both"/>
        <w:rPr>
          <w:rFonts w:ascii="Times New Roman" w:eastAsia="Times New Roman" w:hAnsi="Times New Roman" w:cs="Times New Roman"/>
          <w:b/>
          <w:bCs/>
          <w:iCs/>
          <w:sz w:val="24"/>
          <w:szCs w:val="24"/>
          <w:lang w:eastAsia="ro-RO"/>
        </w:rPr>
      </w:pPr>
      <w:r w:rsidRPr="00250C7F">
        <w:rPr>
          <w:rFonts w:ascii="Times New Roman" w:eastAsia="Times New Roman" w:hAnsi="Times New Roman" w:cs="Times New Roman"/>
          <w:b/>
          <w:bCs/>
          <w:iCs/>
          <w:sz w:val="24"/>
          <w:szCs w:val="24"/>
          <w:lang w:eastAsia="ro-RO"/>
        </w:rPr>
        <w:t xml:space="preserve">    </w:t>
      </w:r>
      <w:r w:rsidR="00C7648A" w:rsidRPr="00250C7F">
        <w:rPr>
          <w:rFonts w:ascii="Times New Roman" w:eastAsia="Times New Roman" w:hAnsi="Times New Roman" w:cs="Times New Roman"/>
          <w:b/>
          <w:bCs/>
          <w:iCs/>
          <w:sz w:val="24"/>
          <w:szCs w:val="24"/>
          <w:lang w:eastAsia="ro-RO"/>
        </w:rPr>
        <w:t xml:space="preserve"> </w:t>
      </w:r>
      <w:r w:rsidRPr="00250C7F">
        <w:rPr>
          <w:rFonts w:ascii="Times New Roman" w:eastAsia="Times New Roman" w:hAnsi="Times New Roman" w:cs="Times New Roman"/>
          <w:b/>
          <w:bCs/>
          <w:iCs/>
          <w:sz w:val="24"/>
          <w:szCs w:val="24"/>
          <w:lang w:eastAsia="ro-RO"/>
        </w:rPr>
        <w:t>2.  Sentinţa pronunţată de tribunal</w:t>
      </w:r>
    </w:p>
    <w:p w14:paraId="0446451D" w14:textId="77777777" w:rsidR="00781F75" w:rsidRPr="00250C7F" w:rsidRDefault="00781F75" w:rsidP="00781F75">
      <w:pPr>
        <w:widowControl w:val="0"/>
        <w:autoSpaceDE w:val="0"/>
        <w:autoSpaceDN w:val="0"/>
        <w:adjustRightInd w:val="0"/>
        <w:spacing w:after="0" w:line="276" w:lineRule="auto"/>
        <w:jc w:val="both"/>
        <w:rPr>
          <w:rFonts w:ascii="Times New Roman" w:eastAsia="Times New Roman" w:hAnsi="Times New Roman" w:cs="Times New Roman"/>
          <w:iCs/>
          <w:sz w:val="24"/>
          <w:szCs w:val="24"/>
        </w:rPr>
      </w:pPr>
      <w:r w:rsidRPr="00250C7F">
        <w:rPr>
          <w:rFonts w:ascii="Times New Roman" w:eastAsia="Times New Roman" w:hAnsi="Times New Roman" w:cs="Times New Roman"/>
          <w:iCs/>
          <w:sz w:val="24"/>
          <w:szCs w:val="24"/>
        </w:rPr>
        <w:t xml:space="preserve"> </w:t>
      </w:r>
      <w:r w:rsidRPr="00250C7F">
        <w:rPr>
          <w:rFonts w:ascii="Times New Roman" w:eastAsia="Times New Roman" w:hAnsi="Times New Roman" w:cs="Times New Roman"/>
          <w:iCs/>
          <w:sz w:val="24"/>
          <w:szCs w:val="24"/>
        </w:rPr>
        <w:tab/>
        <w:t xml:space="preserve"> Prin sentinţa nr. 283 din 4.06.2019, Tribunalul Cluj, Secţia civilă a respins, ca neîntemeiată, acţiunea.</w:t>
      </w:r>
    </w:p>
    <w:p w14:paraId="16D628ED" w14:textId="77777777" w:rsidR="00781F75" w:rsidRPr="00250C7F" w:rsidRDefault="00781F75" w:rsidP="00781F75">
      <w:pPr>
        <w:widowControl w:val="0"/>
        <w:autoSpaceDE w:val="0"/>
        <w:autoSpaceDN w:val="0"/>
        <w:adjustRightInd w:val="0"/>
        <w:spacing w:after="0" w:line="276" w:lineRule="auto"/>
        <w:jc w:val="both"/>
        <w:rPr>
          <w:rFonts w:ascii="Times New Roman" w:eastAsia="Times New Roman" w:hAnsi="Times New Roman" w:cs="Times New Roman"/>
          <w:b/>
          <w:bCs/>
          <w:iCs/>
          <w:sz w:val="24"/>
          <w:szCs w:val="24"/>
        </w:rPr>
      </w:pPr>
      <w:r w:rsidRPr="00250C7F">
        <w:rPr>
          <w:rFonts w:ascii="Times New Roman" w:eastAsia="Times New Roman" w:hAnsi="Times New Roman" w:cs="Times New Roman"/>
          <w:iCs/>
          <w:sz w:val="24"/>
          <w:szCs w:val="24"/>
        </w:rPr>
        <w:t xml:space="preserve">        </w:t>
      </w:r>
      <w:r w:rsidRPr="00250C7F">
        <w:rPr>
          <w:rFonts w:ascii="Times New Roman" w:eastAsia="Times New Roman" w:hAnsi="Times New Roman" w:cs="Times New Roman"/>
          <w:b/>
          <w:bCs/>
          <w:iCs/>
          <w:sz w:val="24"/>
          <w:szCs w:val="24"/>
        </w:rPr>
        <w:t xml:space="preserve">   3.  Decizia pronunţată de curtea de apel </w:t>
      </w:r>
    </w:p>
    <w:p w14:paraId="30ECD933" w14:textId="77777777" w:rsidR="00781F75" w:rsidRPr="00250C7F" w:rsidRDefault="00781F75" w:rsidP="00781F75">
      <w:pPr>
        <w:widowControl w:val="0"/>
        <w:autoSpaceDE w:val="0"/>
        <w:autoSpaceDN w:val="0"/>
        <w:adjustRightInd w:val="0"/>
        <w:spacing w:after="0" w:line="276" w:lineRule="auto"/>
        <w:ind w:firstLine="708"/>
        <w:jc w:val="both"/>
        <w:rPr>
          <w:rFonts w:ascii="Times New Roman" w:eastAsia="Times New Roman" w:hAnsi="Times New Roman" w:cs="Times New Roman"/>
          <w:iCs/>
          <w:sz w:val="24"/>
          <w:szCs w:val="24"/>
        </w:rPr>
      </w:pPr>
      <w:r w:rsidRPr="00250C7F">
        <w:rPr>
          <w:rFonts w:ascii="Times New Roman" w:eastAsia="Times New Roman" w:hAnsi="Times New Roman" w:cs="Times New Roman"/>
          <w:iCs/>
          <w:sz w:val="24"/>
          <w:szCs w:val="24"/>
        </w:rPr>
        <w:t>Soluţia primei instanţe a fost menţinută de Curtea de Apel Cluj, Secţia I civilă, prin decizia nr. 275/A din 4.12.2019, prin care s-a respins, ca nefondat, apelul reclamantei împotriva sentinţei tribunalului.</w:t>
      </w:r>
    </w:p>
    <w:p w14:paraId="09554FD9" w14:textId="015A14E9" w:rsidR="00781F75" w:rsidRPr="00250C7F" w:rsidRDefault="00781F75" w:rsidP="00781F75">
      <w:pPr>
        <w:widowControl w:val="0"/>
        <w:autoSpaceDE w:val="0"/>
        <w:autoSpaceDN w:val="0"/>
        <w:adjustRightInd w:val="0"/>
        <w:spacing w:after="0" w:line="276" w:lineRule="auto"/>
        <w:ind w:firstLine="641"/>
        <w:jc w:val="both"/>
        <w:rPr>
          <w:rFonts w:ascii="Times New Roman" w:eastAsia="Times New Roman" w:hAnsi="Times New Roman" w:cs="Times New Roman"/>
          <w:b/>
          <w:bCs/>
          <w:iCs/>
          <w:sz w:val="24"/>
          <w:szCs w:val="24"/>
        </w:rPr>
      </w:pPr>
      <w:r w:rsidRPr="00250C7F">
        <w:rPr>
          <w:rFonts w:ascii="Times New Roman" w:eastAsia="Times New Roman" w:hAnsi="Times New Roman" w:cs="Times New Roman"/>
          <w:b/>
          <w:bCs/>
          <w:iCs/>
          <w:sz w:val="24"/>
          <w:szCs w:val="24"/>
        </w:rPr>
        <w:t>4. Calea de atac a recursului formulată în cauză</w:t>
      </w:r>
    </w:p>
    <w:p w14:paraId="28E4F4E6" w14:textId="77777777" w:rsidR="00781F75" w:rsidRPr="00250C7F" w:rsidRDefault="00781F75" w:rsidP="00781F75">
      <w:pPr>
        <w:shd w:val="clear" w:color="auto" w:fill="FFFFFF"/>
        <w:spacing w:after="0" w:line="276" w:lineRule="auto"/>
        <w:ind w:left="7" w:firstLine="634"/>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xml:space="preserve"> Împotriva acestei decizii a declarat recurs reclamanta.</w:t>
      </w:r>
    </w:p>
    <w:p w14:paraId="7293F6D1" w14:textId="77777777" w:rsidR="00781F75" w:rsidRPr="00250C7F" w:rsidRDefault="00781F75" w:rsidP="00781F75">
      <w:pPr>
        <w:spacing w:after="0" w:line="276" w:lineRule="auto"/>
        <w:ind w:firstLine="360"/>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xml:space="preserve">     Invocând dispozițiile art. 488 alin. 1 pct. 4, 6 și 8 C.pr.civ, recurenta a invocat următoarele aspecte de nelegalitate:</w:t>
      </w:r>
    </w:p>
    <w:p w14:paraId="317092E8" w14:textId="77777777" w:rsidR="00781F75" w:rsidRPr="00250C7F" w:rsidRDefault="00781F75" w:rsidP="00781F75">
      <w:pPr>
        <w:spacing w:after="0" w:line="276" w:lineRule="auto"/>
        <w:ind w:firstLine="36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iCs/>
          <w:sz w:val="24"/>
          <w:szCs w:val="24"/>
          <w:lang w:eastAsia="ro-RO"/>
        </w:rPr>
        <w:t xml:space="preserve">      Instanța de apel a depăşit atribuţiile puterii judecătoreşti, respectiv nu a aplicat şi nu a ţinut cont de principiul aflării adevărului, de textele legale aplicabile materiei în cauza dedusă judecății, invocând și aplicând într-un mod discreţionar dispoziții</w:t>
      </w:r>
      <w:r w:rsidRPr="00250C7F">
        <w:rPr>
          <w:rFonts w:ascii="Times New Roman" w:eastAsia="Times New Roman" w:hAnsi="Times New Roman" w:cs="Times New Roman"/>
          <w:sz w:val="24"/>
          <w:szCs w:val="24"/>
          <w:lang w:eastAsia="ro-RO"/>
        </w:rPr>
        <w:t xml:space="preserve"> legale considerate incidente, transformându-se în apărătorul intimatului – pârât.</w:t>
      </w:r>
    </w:p>
    <w:p w14:paraId="46C0A62C" w14:textId="77777777" w:rsidR="00781F75" w:rsidRPr="00250C7F" w:rsidRDefault="00781F75" w:rsidP="00781F75">
      <w:pPr>
        <w:spacing w:after="0" w:line="276" w:lineRule="auto"/>
        <w:ind w:firstLine="36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      Hotărârea recurată nu cuprinde motivele pe care se sprijină şi conţine motive străine de natura cauzei, respectiv au fost înlăturate toate probele administrate, fără niciun argument legal, nu au fost analizate înscrisurile depuse la dosar, nici temeiurile de drept şi jurisprudenţa invocată de către reclamantă.</w:t>
      </w:r>
    </w:p>
    <w:p w14:paraId="67B3C24B" w14:textId="77777777" w:rsidR="00781F75" w:rsidRPr="00250C7F" w:rsidRDefault="00781F75" w:rsidP="00781F75">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Decizia atacată a fost dată cu încălcarea şi aplicarea greşită a normelor de drept material şi anume, instanţa de apel a greşit reţinând că tribunalul trebuia să verifice dacă, în cazul admiterii contestaţiei la executare, s-ar fi evitat producerea unui prejudiciu. </w:t>
      </w:r>
    </w:p>
    <w:p w14:paraId="7631AF0E" w14:textId="77777777" w:rsidR="00781F75" w:rsidRPr="00250C7F" w:rsidRDefault="00781F75" w:rsidP="00781F75">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S-a arătat că potrivit adresei nr. 13903/2015,  recurenta a cerut intimatului să formuleze contestaţie la executare împotriva executării silite în cadrul dosarului execuţional nr. x/2015 al SCPEJ B., să solicite suspendarea provizorie a executării silite şi, în baza parolei comunicate, să studieze dosarul nr. x/33/2012 al Curţii de Apel Cluj, în vederea motivării respectivelor cereri, însă intimatul-pârât nu s-a conformat acestor solicitări.</w:t>
      </w:r>
    </w:p>
    <w:p w14:paraId="6B1596EE" w14:textId="77777777" w:rsidR="00781F75" w:rsidRPr="00250C7F" w:rsidRDefault="00781F75" w:rsidP="00781F75">
      <w:pPr>
        <w:spacing w:after="0" w:line="276" w:lineRule="auto"/>
        <w:ind w:firstLine="36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În mod greşit, a reţinut instanţa de apel că tribunalul a verificat dacă pârâtul şi-a îndeplinit obligaţiile legale în reprezentarea reclamantei şi a concluzionat în mod favorabil acestuia, în condiţiile în care acesta era obligat să facă şi el demersurile necesare la Primăria comunei Apahida, pentru a verifica dacă creditorilor din acel dosar execuţional li s-a reconstituit sau nu dreptul de proprietate asupra suprafeţei de 5,64 ha, conform deciziei nr. 477/R/2015 a Tribunalului Cluj, reclamanta fiind prejudiciată cu contravaloarea acestei suprafeţe de teren.</w:t>
      </w:r>
    </w:p>
    <w:p w14:paraId="364C2990" w14:textId="77777777" w:rsidR="00781F75" w:rsidRPr="00250C7F" w:rsidRDefault="00781F75" w:rsidP="00781F75">
      <w:pPr>
        <w:spacing w:after="0" w:line="276" w:lineRule="auto"/>
        <w:ind w:firstLine="36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Eronat a constatat instanţa de apel că susţinerea reclamantei – conform căreia respingerea, ca tardivă, a contestaţiei, este imputabilă intimatului – nu ar avea suport legal, în condiţiile în care nu se cunoaşte care ar fi fost soluţia dată contestaţiei, dacă aceasta ar fi respectat termenul legal.</w:t>
      </w:r>
    </w:p>
    <w:p w14:paraId="22E351F4" w14:textId="77777777" w:rsidR="00781F75" w:rsidRPr="00250C7F" w:rsidRDefault="00781F75" w:rsidP="00781F75">
      <w:pPr>
        <w:spacing w:after="0" w:line="276" w:lineRule="auto"/>
        <w:ind w:firstLine="36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 xml:space="preserve">De asemenea, tot greşit a reţinut instanţa de apel că reclamanta ar fi  invocat culpa intimatului pentru momentul la care s-a transmis contestaţia la executare, în ultima zi în care se putea formula contestaţie (3.12.2015, ora 15.58, cu recepționarea înscrisului la ora 16.03). A precizat că, de fapt,  intimatul avea la îndemână prevederile art. 183 alin. 1 Cod procedură civilă şi trebuia să trimită la instanţă contestaţia la executare prin scrisoare recomandată la oficiul poştal </w:t>
      </w:r>
      <w:r w:rsidRPr="00250C7F">
        <w:rPr>
          <w:rFonts w:ascii="Times New Roman" w:eastAsia="Times New Roman" w:hAnsi="Times New Roman" w:cs="Times New Roman"/>
          <w:sz w:val="24"/>
          <w:szCs w:val="24"/>
          <w:lang w:eastAsia="ro-RO"/>
        </w:rPr>
        <w:lastRenderedPageBreak/>
        <w:t>sau prin serviciul de curierat, în data de 3.12.2015 până seara la ora 24.00, dar nu a făcut acest lucru.</w:t>
      </w:r>
    </w:p>
    <w:p w14:paraId="05CBD2EA" w14:textId="77777777" w:rsidR="00781F75" w:rsidRPr="00250C7F" w:rsidRDefault="00781F75" w:rsidP="00781F75">
      <w:pPr>
        <w:spacing w:after="0" w:line="276" w:lineRule="auto"/>
        <w:ind w:firstLine="36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S-a arătat și că în mod eronat a reţinut instanţa de apel că intimatului nu-i revenea obligaţia de informare a reclamantei cu privire la procesul-verbal din 3.12.2015, emis în dosarul execuţional, care i-a fost comunicat intimatului la data de 10.12.2015, iar reclamantei la data de 11.12.2015, deoarece intimatului îi revenea această obligaţie în baza art. 111 din Statutul profesiei de avocat. Intimatul nu s-a prezentat în data de 3.12.2015 la terenul în cauză, nu a fost prezent la întocmirea procesului-verbal de punere în posesie a creditorilor, nu a comunicat reclamantei procesul-verbal de punere în posesie şi nici nu l-a contestat.</w:t>
      </w:r>
    </w:p>
    <w:p w14:paraId="7767033E" w14:textId="77777777" w:rsidR="00781F75" w:rsidRPr="00250C7F" w:rsidRDefault="00781F75" w:rsidP="00781F75">
      <w:pPr>
        <w:spacing w:after="0" w:line="276" w:lineRule="auto"/>
        <w:ind w:firstLine="36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A susţinut recurenta, totodată, că este greşită aprecierea instanţei de apel în sensul că din starea de fapt rezultă că intimatul demara acţiuni în justiţie la solicitarea serviciului contencios din cadrul reclamantei, în condiţiile în care în contractul de asistenţă juridică încheiat de părți nu se prevede aşa ceva. Astfel, obiectul contractului îl constituia formularea de acţiuni în instanţă, asistenţă, consultanţă şi reprezentare client în perioada 1 august 2015 – 1 august 2016.</w:t>
      </w:r>
    </w:p>
    <w:p w14:paraId="45F4501E" w14:textId="77777777" w:rsidR="00781F75" w:rsidRPr="00250C7F" w:rsidRDefault="00781F75" w:rsidP="00781F75">
      <w:pPr>
        <w:spacing w:after="0" w:line="276" w:lineRule="auto"/>
        <w:ind w:firstLine="36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Recurenta a mai criticat hotărârea instanţei de apel pentru încălcarea dispoziţiilor Statutului profesiei de avocat, respectiv art. 109 alin. 2, art. 110, art. 111, art. 133 şi art. 134.</w:t>
      </w:r>
    </w:p>
    <w:p w14:paraId="48B26CA2" w14:textId="77777777" w:rsidR="00781F75" w:rsidRPr="00250C7F" w:rsidRDefault="00781F75" w:rsidP="00781F75">
      <w:pPr>
        <w:spacing w:after="0" w:line="276" w:lineRule="auto"/>
        <w:ind w:firstLine="36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A concluzionat recurenta că, urmare a faptului că intimatul nu a formulat în termen contestaţie la executare împotriva executării silite, instanţa a respins contestaţia ca tardivă, iar întrucât intimatul nu a formulat contestaţie la executare împotriva procesului-verbal de punere în posesie a creditorilor din 3.12.2015, aceasta a fost prejudiciată cu contravaloarea terenului de 13.653 mp, de care a fost astfel deposedată.</w:t>
      </w:r>
    </w:p>
    <w:p w14:paraId="7FFE659A" w14:textId="77777777" w:rsidR="00781F75" w:rsidRPr="00250C7F" w:rsidRDefault="00781F75" w:rsidP="00781F75">
      <w:pPr>
        <w:spacing w:after="0" w:line="276" w:lineRule="auto"/>
        <w:ind w:firstLine="360"/>
        <w:jc w:val="both"/>
        <w:rPr>
          <w:rFonts w:ascii="Times New Roman" w:eastAsia="Calibri" w:hAnsi="Times New Roman" w:cs="Times New Roman"/>
          <w:b/>
          <w:sz w:val="24"/>
          <w:szCs w:val="24"/>
          <w:lang w:eastAsia="ro-RO"/>
        </w:rPr>
      </w:pPr>
      <w:r w:rsidRPr="00250C7F">
        <w:rPr>
          <w:rFonts w:ascii="Times New Roman" w:eastAsia="Times New Roman" w:hAnsi="Times New Roman" w:cs="Times New Roman"/>
          <w:sz w:val="24"/>
          <w:szCs w:val="24"/>
          <w:lang w:eastAsia="ro-RO"/>
        </w:rPr>
        <w:tab/>
        <w:t>Astfel, în opinia recurentei, intimatul nu a respectat obligaţiile stipulate în contractul de asistenţă juridică şi urmează a răspunde potrivit legii, în sensul celor arătate.</w:t>
      </w:r>
    </w:p>
    <w:p w14:paraId="5D8CD495" w14:textId="77777777" w:rsidR="00781F75" w:rsidRPr="00250C7F" w:rsidRDefault="00781F75" w:rsidP="00781F75">
      <w:pPr>
        <w:shd w:val="clear" w:color="auto" w:fill="FFFFFF"/>
        <w:spacing w:after="0" w:line="276" w:lineRule="auto"/>
        <w:ind w:left="630"/>
        <w:jc w:val="both"/>
        <w:rPr>
          <w:rFonts w:ascii="Times New Roman" w:eastAsia="Times New Roman" w:hAnsi="Times New Roman" w:cs="Times New Roman"/>
          <w:b/>
          <w:bCs/>
          <w:iCs/>
          <w:sz w:val="24"/>
          <w:szCs w:val="24"/>
          <w:lang w:eastAsia="ro-RO"/>
        </w:rPr>
      </w:pPr>
      <w:r w:rsidRPr="00250C7F">
        <w:rPr>
          <w:rFonts w:ascii="Times New Roman" w:eastAsia="Times New Roman" w:hAnsi="Times New Roman" w:cs="Times New Roman"/>
          <w:b/>
          <w:bCs/>
          <w:iCs/>
          <w:sz w:val="24"/>
          <w:szCs w:val="24"/>
          <w:lang w:eastAsia="ro-RO"/>
        </w:rPr>
        <w:t xml:space="preserve"> 5. Apărările formulate în cauză</w:t>
      </w:r>
    </w:p>
    <w:p w14:paraId="7EC439E8" w14:textId="77777777" w:rsidR="00781F75" w:rsidRPr="00250C7F" w:rsidRDefault="00781F75" w:rsidP="00781F75">
      <w:pPr>
        <w:spacing w:after="0" w:line="276" w:lineRule="auto"/>
        <w:ind w:firstLine="705"/>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iCs/>
          <w:sz w:val="24"/>
          <w:szCs w:val="24"/>
          <w:lang w:eastAsia="ro-RO"/>
        </w:rPr>
        <w:t xml:space="preserve">Intimatul - pârât Cabinet Individual de Avocat A. </w:t>
      </w:r>
      <w:r w:rsidRPr="00250C7F">
        <w:rPr>
          <w:rFonts w:ascii="Times New Roman" w:eastAsia="Times New Roman" w:hAnsi="Times New Roman" w:cs="Times New Roman"/>
          <w:sz w:val="24"/>
          <w:szCs w:val="24"/>
          <w:lang w:eastAsia="ro-RO"/>
        </w:rPr>
        <w:t xml:space="preserve">a formulat întâmpinare, prin care a solicitat respingerea recursului, arătând că în cauză nu se pune problema depăşirii atribuţiilor puterii judecătoreşti, instanţa de apel a avut în vedere toate probele administrate şi s-a pronunţat asupra tuturor capetelor de cerere cu care a fost învestită. </w:t>
      </w:r>
    </w:p>
    <w:p w14:paraId="48EE7B0F" w14:textId="77777777" w:rsidR="00781F75" w:rsidRPr="00250C7F" w:rsidRDefault="00781F75" w:rsidP="00781F75">
      <w:pPr>
        <w:spacing w:after="0" w:line="276" w:lineRule="auto"/>
        <w:ind w:firstLine="705"/>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 mai arătat intimatul - pârât că atunci când între părţi există un contract din a cărui executare necorespunzătoare rezultă prejudicii, nu se poate antrena răspunderea civilă delictuală, singura cale fiind aceea a răspunderii contractuale. Pe de altă parte, în cauză nu au fost dovedite condiţiile răspunderii civile delictuale.</w:t>
      </w:r>
    </w:p>
    <w:p w14:paraId="7FF3B900" w14:textId="77777777" w:rsidR="00781F75" w:rsidRPr="00250C7F" w:rsidRDefault="00781F75" w:rsidP="00781F75">
      <w:pPr>
        <w:spacing w:after="0" w:line="276" w:lineRule="auto"/>
        <w:ind w:firstLine="705"/>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iCs/>
          <w:sz w:val="24"/>
          <w:szCs w:val="24"/>
          <w:lang w:eastAsia="ro-RO"/>
        </w:rPr>
        <w:t>Recurenta</w:t>
      </w:r>
      <w:r w:rsidRPr="00250C7F">
        <w:rPr>
          <w:rFonts w:ascii="Times New Roman" w:eastAsia="Times New Roman" w:hAnsi="Times New Roman" w:cs="Times New Roman"/>
          <w:sz w:val="24"/>
          <w:szCs w:val="24"/>
          <w:lang w:eastAsia="ro-RO"/>
        </w:rPr>
        <w:t xml:space="preserve"> a formulat răspuns la întâmpinare, prin care a solicitat înlăturarea apărărilor conţinute în actul procedural, admiterea recursului şi acordarea cheltuielilor de judecată.</w:t>
      </w:r>
    </w:p>
    <w:p w14:paraId="440D2AF0" w14:textId="77777777" w:rsidR="00781F75" w:rsidRPr="00250C7F" w:rsidRDefault="00781F75" w:rsidP="00781F75">
      <w:pPr>
        <w:shd w:val="clear" w:color="auto" w:fill="FFFFFF"/>
        <w:spacing w:after="0" w:line="276" w:lineRule="auto"/>
        <w:ind w:firstLine="567"/>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II. Soluţia şi considerentele Înaltei Curţi de Casaţie şi Justiţie</w:t>
      </w:r>
    </w:p>
    <w:p w14:paraId="48350F6E"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Analizând criticile formulate, Înalta Curte constată caracterul nefondat al acestora potrivit următoarelor considerente:</w:t>
      </w:r>
    </w:p>
    <w:p w14:paraId="369DCB6C"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Susţinerea conform căreia instanța ar fi depăşit limitele puterii judecătoreşti – cu referire la motivul de recurs prevăzut de art. 488 alin. 1 pct. 4 C.pr.civ. – ignoră faptul că în reglementarea acestui caz de casare se are în vedere ipoteza în care instanța, nesocotindu-şi competenţele, intră prin soluţia adoptată sau modalitatea de exercitare a atribuţiilor jurisdicţionale, în sfera de atribuţie a altor puteri.</w:t>
      </w:r>
    </w:p>
    <w:p w14:paraId="5E91CD9E"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 xml:space="preserve">Or, străin acestei reglementări, recurenta invocă sub acest motiv de recurs faptul că instanța „nu ar fi dat dovadă de imparţialitate şi nu a fost preocupată de aflarea adevărului, </w:t>
      </w:r>
      <w:r w:rsidRPr="00250C7F">
        <w:rPr>
          <w:rFonts w:ascii="Times New Roman" w:eastAsia="Times New Roman" w:hAnsi="Times New Roman" w:cs="Times New Roman"/>
          <w:sz w:val="24"/>
          <w:szCs w:val="24"/>
          <w:lang w:eastAsia="ro-RO"/>
        </w:rPr>
        <w:lastRenderedPageBreak/>
        <w:t>aplicând şi invocând în mod discreţionar texte legale incidente, jurisprudența instanţelor, transformându-se astfel, în avocatul intimatului”.</w:t>
      </w:r>
    </w:p>
    <w:p w14:paraId="1A8A0902"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În realitate, ambele instanţe de fond, tocmai în exercitarea rolului activ în aflarea adevărului (art. 22 C.pr.civ.) au fost preocupate să stabilească limitele legale ale judecăţii, pentru ca soluţia să vizeze în mod corect raportul juridic litigios, iar nu unul străin cauzei.</w:t>
      </w:r>
    </w:p>
    <w:p w14:paraId="3C8846B4"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Toate aspectele relevate de recurentă, în legătură cu stabilirea şi identificarea textelor de lege incidente, trimiterile la jurisprudenţa instanței supreme nu sunt atribuţii care depăşesc sfera jurisdicţională a instanței ci dimpotrivă, fac parte din esenţa activităţii de spunere a dreptului (</w:t>
      </w:r>
      <w:r w:rsidRPr="00250C7F">
        <w:rPr>
          <w:rFonts w:ascii="Times New Roman" w:eastAsia="Times New Roman" w:hAnsi="Times New Roman" w:cs="Times New Roman"/>
          <w:i/>
          <w:sz w:val="24"/>
          <w:szCs w:val="24"/>
          <w:lang w:eastAsia="ro-RO"/>
        </w:rPr>
        <w:t>iuris dictio</w:t>
      </w:r>
      <w:r w:rsidRPr="00250C7F">
        <w:rPr>
          <w:rFonts w:ascii="Times New Roman" w:eastAsia="Times New Roman" w:hAnsi="Times New Roman" w:cs="Times New Roman"/>
          <w:sz w:val="24"/>
          <w:szCs w:val="24"/>
          <w:lang w:eastAsia="ro-RO"/>
        </w:rPr>
        <w:t>) pe care trebuie să o desfăşoare instanța, atunci când urmează să aplice dreptul asupra faptelor deduse judecăţii.</w:t>
      </w:r>
    </w:p>
    <w:p w14:paraId="530D2AFA"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În speţă, exercitarea unui rol activ în aflarea adevărului – respectiv, în stabilirea obiectului învestirii şi a temeiului juridic al pretenţiilor – s-a impus cu atât mai mult cu cât reclamanta, întemeindu-şi cererea pe existenţa unui contract de asistenţă juridică încheiat cu intimatul–pârât, a susţinut că fundamentul, izvorul pretenţiilor şi deci, cauza juridică a acţiunii se află în răspunderea civilă delictuală.</w:t>
      </w:r>
    </w:p>
    <w:p w14:paraId="3B368C84"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Faţă de această contradicţie juridică, prima instanță a fondului, ţinând seama de dispoziţiile art. 22 alin. 2 C.pr.civ. (care stipulează obligaţia pentru judecător de a stărui prin  toate mijloacele legale, pentru a preveni orice greşeală privind aflarea adevărului în cauză) a solicitat reprezentantului reclamantei să precizeze pe care din cele două tipuri ale răspunderii juridice îşi fundamentează acţiunea, răspunsul acestuia fiind că „întrucât este vorba despre neîndeplinirea obligaţiilor contractuale, atunci intervine răspunderea civilă delictuală, chiar dacă între părţi este vorba despre un  contract”.</w:t>
      </w:r>
    </w:p>
    <w:p w14:paraId="047D8D89" w14:textId="6079FE73"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De aceea, analiza în continuare a instanţei a fost determinată de aceste c</w:t>
      </w:r>
      <w:r w:rsidR="00400B63" w:rsidRPr="00250C7F">
        <w:rPr>
          <w:rFonts w:ascii="Times New Roman" w:eastAsia="Times New Roman" w:hAnsi="Times New Roman" w:cs="Times New Roman"/>
          <w:sz w:val="24"/>
          <w:szCs w:val="24"/>
          <w:lang w:eastAsia="ro-RO"/>
        </w:rPr>
        <w:t xml:space="preserve">oordonate fixate deopotrivă de </w:t>
      </w:r>
      <w:r w:rsidRPr="00250C7F">
        <w:rPr>
          <w:rFonts w:ascii="Times New Roman" w:eastAsia="Times New Roman" w:hAnsi="Times New Roman" w:cs="Times New Roman"/>
          <w:sz w:val="24"/>
          <w:szCs w:val="24"/>
          <w:lang w:eastAsia="ro-RO"/>
        </w:rPr>
        <w:t>elementele cererii de chemare în judecată şi de precizările exprese ale reprezentantului reclamantei.</w:t>
      </w:r>
    </w:p>
    <w:p w14:paraId="5FAB7046"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În concluzie, se constată că prin invocarea motivului de recurs prevăzut de art. 488 alin. 1 pct. 4 C.pr.civ., recurenta aduce în discuţie ipoteze străine acestei reglementări, care nu ţin de depăşirea atribuţiilor puterii judecătoreşti, ci dimpotrivă, de modalitatea în care instanța îşi exercită tocmai funcţia jurisdicţională, într-o îndeplinire – bazată pe un rol activ – a obligaţiilor ce îi revin pentru a preveni orice greşeală în aflarea adevărului.</w:t>
      </w:r>
    </w:p>
    <w:p w14:paraId="4EFF0D6A"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Critica potrivit căreia decizia nu cuprinde motivele pe care se sprijină ori se întemeiază pe motive străine de natura cauzei, (art. 488 alin. 1 pct.6 C.pr.civ.) „fiind înlăturate toate probele administrate, fără niciun argument legal, nefiind analizate toate înscrisurile şi nici temeiurile invocate” nu este aptă să demonstreze nelegalitatea hotărârii atacate.</w:t>
      </w:r>
    </w:p>
    <w:p w14:paraId="3C781E16" w14:textId="3702133C"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Astfel, ambele instanţe de fond au reţinut în mod corect că între părţi, existând raporturi juridice contractuale (respectiv, contract de asistenţă juridică), singura formă de răspundere ce poate fi an</w:t>
      </w:r>
      <w:r w:rsidR="00400B63" w:rsidRPr="00250C7F">
        <w:rPr>
          <w:rFonts w:ascii="Times New Roman" w:eastAsia="Times New Roman" w:hAnsi="Times New Roman" w:cs="Times New Roman"/>
          <w:sz w:val="24"/>
          <w:szCs w:val="24"/>
          <w:lang w:eastAsia="ro-RO"/>
        </w:rPr>
        <w:t xml:space="preserve">gajată în </w:t>
      </w:r>
      <w:r w:rsidRPr="00250C7F">
        <w:rPr>
          <w:rFonts w:ascii="Times New Roman" w:eastAsia="Times New Roman" w:hAnsi="Times New Roman" w:cs="Times New Roman"/>
          <w:sz w:val="24"/>
          <w:szCs w:val="24"/>
          <w:lang w:eastAsia="ro-RO"/>
        </w:rPr>
        <w:t>legătură cu neîndeplinirea obligaţiilor asumate prin convenţie este răspunderea contractuală.</w:t>
      </w:r>
    </w:p>
    <w:p w14:paraId="6726F893"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Aceasta întrucât regimul juridic al răspunderii contractuale este special, derogator faţă de regimul de drept comun al răspunderii delictuale şi se activează ori de câte ori între părţi există o legătură contractuală (în timp ce răspunderea delictuală funcţionează în toate situaţiile în care există obligaţia legală de a repara un prejudiciu suferit de o altă persoană în afara oricărei relaţii contractuale cu victima).</w:t>
      </w:r>
    </w:p>
    <w:p w14:paraId="5D1AFD49"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lastRenderedPageBreak/>
        <w:tab/>
        <w:t>În acest sens, dispoziţiile art. 1.350 alin. 3 C.civ. stipulează expres că „Dacă prin lege nu se prevede altfel, niciuna dintre părţi nu poate înlătura aplicarea regulilor răspunderii contractuale pentru a opta în favoarea altor reguli care i-ar fi mai favorabile”.</w:t>
      </w:r>
    </w:p>
    <w:p w14:paraId="6F73CA36" w14:textId="77777777" w:rsidR="00781F75" w:rsidRPr="00250C7F" w:rsidRDefault="00781F75" w:rsidP="00781F75">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Or, instanţele de fond au făcut o corectă aplicare a raportului dintre cele două forme ale răspunderii juridice şi constatând </w:t>
      </w:r>
      <w:r w:rsidRPr="00250C7F">
        <w:rPr>
          <w:rFonts w:ascii="Times New Roman" w:eastAsia="Times New Roman" w:hAnsi="Times New Roman" w:cs="Times New Roman"/>
          <w:i/>
          <w:sz w:val="24"/>
          <w:szCs w:val="24"/>
          <w:lang w:eastAsia="ro-RO"/>
        </w:rPr>
        <w:t>pe de o parte</w:t>
      </w:r>
      <w:r w:rsidRPr="00250C7F">
        <w:rPr>
          <w:rFonts w:ascii="Times New Roman" w:eastAsia="Times New Roman" w:hAnsi="Times New Roman" w:cs="Times New Roman"/>
          <w:sz w:val="24"/>
          <w:szCs w:val="24"/>
          <w:lang w:eastAsia="ro-RO"/>
        </w:rPr>
        <w:t xml:space="preserve">, că între reclamantă şi pârât există o relaţie contractuală şi </w:t>
      </w:r>
      <w:r w:rsidRPr="00250C7F">
        <w:rPr>
          <w:rFonts w:ascii="Times New Roman" w:eastAsia="Times New Roman" w:hAnsi="Times New Roman" w:cs="Times New Roman"/>
          <w:i/>
          <w:sz w:val="24"/>
          <w:szCs w:val="24"/>
          <w:lang w:eastAsia="ro-RO"/>
        </w:rPr>
        <w:t>pe de altă parte</w:t>
      </w:r>
      <w:r w:rsidRPr="00250C7F">
        <w:rPr>
          <w:rFonts w:ascii="Times New Roman" w:eastAsia="Times New Roman" w:hAnsi="Times New Roman" w:cs="Times New Roman"/>
          <w:sz w:val="24"/>
          <w:szCs w:val="24"/>
          <w:lang w:eastAsia="ro-RO"/>
        </w:rPr>
        <w:t>, că reclamanta şi-a precizat temeiul juridic al acţiunii ca fiind dat de dispoziţiile art. 1.349 C.civ. – referitoare la răspunderea civilă delictuală – au concluzionat că, neexistând drept de opțiune al reclamantei în acest sens, nu poate fi angajată răspunderea civilă delictuală.</w:t>
      </w:r>
    </w:p>
    <w:p w14:paraId="48215AA6" w14:textId="77777777" w:rsidR="00781F75" w:rsidRPr="00250C7F" w:rsidRDefault="00781F75" w:rsidP="00781F75">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Acest raţionament al instanțelor în legătură cu inexistenţa dreptului de opţiune între cele două tipuri de răspundere, impus de dispoziţiile art. 1.350 alin. 3 C.civ., este determinant şi suficient în adoptarea soluţiei, constituindu-se în considerentele necesare care să fundamenteze hotărârea.</w:t>
      </w:r>
    </w:p>
    <w:p w14:paraId="429F74D6" w14:textId="77777777" w:rsidR="00781F75" w:rsidRPr="00250C7F" w:rsidRDefault="00781F75" w:rsidP="00781F75">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De aceea, nicio analiză ulterioară nu mai putea fi făcută în legătură cu inexistenţa prejudiciului pretins (pierderea dreptului de proprietate asupra unui teren) sau inexistenţa faptelor ilicite afirmate (neexercitarea unei contestaţii la executare în termen şi respectiv, neatacarea unui proces-verbal de punere în executare).</w:t>
      </w:r>
    </w:p>
    <w:p w14:paraId="7A520A1C" w14:textId="77777777" w:rsidR="00781F75" w:rsidRPr="00250C7F" w:rsidRDefault="00781F75" w:rsidP="00781F75">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Aceasta întrucât, odată stabilite limitele învestirii, faptul că fundamentul pretenţiilor se află în răspunderea delictuală, în contextul în care între părţi există un contract valabil încheiat care, potrivit art. 1.270 C.civ., are putere de lege, instanţa nu mai avea posibilitatea de a analiza pe fond elemente ale răspunderii civile delictuale, opunându-i-se impedimentul decurgând din art. 1.350 alin. 3 C.civ., al lipsei opţiunii între cele două forme de răspundere.</w:t>
      </w:r>
    </w:p>
    <w:p w14:paraId="385AC23E" w14:textId="77777777" w:rsidR="00781F75" w:rsidRPr="00250C7F" w:rsidRDefault="00781F75" w:rsidP="00781F75">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acelaşi timp, se constată însă că analiza pe care o face instanța de apel – la fel ca prima instanţă a fondului – în legătură cu elemente ale răspunderii civile  delictuale este una subsidiară, după ce tranşase asupra imposibilităţii de a combina cele două forme de răspundere sau de a opta între ele.</w:t>
      </w:r>
    </w:p>
    <w:p w14:paraId="0CDA97EC" w14:textId="77777777" w:rsidR="00781F75" w:rsidRPr="00250C7F" w:rsidRDefault="00781F75" w:rsidP="00781F75">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De aceea, astfel de considerente subsidiare nu constituie o justificare a soluţiei adoptate, nu au caracter necesar şi nu intră în autoritate de lucru judecat (potrivit art. 430 alin. 2 C.pr.civ. au acest atribut doar considerentele pe care se sprijină dispozitivul).</w:t>
      </w:r>
    </w:p>
    <w:p w14:paraId="3902F294" w14:textId="77777777" w:rsidR="00781F75" w:rsidRPr="00250C7F" w:rsidRDefault="00781F75" w:rsidP="00781F75">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Asemenea considerente, cum sunt în speţă cele referitoare la prejudiciu şi faptă ilicită au caracter supraabundent, nenecesar, astfel încât, deşi străine într-adevăr, de natura pricinii supuse dezbaterii, ele nu sunt apte să atragă incidența motivului de recurs prevăzut de art. 488 alin. 1 pct. 6 teza ultimă C.pr.civ., câtă vreme nu ele au justificat soluţia adoptată și ca atare, nu este dată ipoteza textului (ca hotărârea să cuprindă </w:t>
      </w:r>
      <w:r w:rsidRPr="00250C7F">
        <w:rPr>
          <w:rFonts w:ascii="Times New Roman" w:eastAsia="Times New Roman" w:hAnsi="Times New Roman" w:cs="Times New Roman"/>
          <w:i/>
          <w:sz w:val="24"/>
          <w:szCs w:val="24"/>
          <w:lang w:eastAsia="ro-RO"/>
        </w:rPr>
        <w:t>numai</w:t>
      </w:r>
      <w:r w:rsidRPr="00250C7F">
        <w:rPr>
          <w:rFonts w:ascii="Times New Roman" w:eastAsia="Times New Roman" w:hAnsi="Times New Roman" w:cs="Times New Roman"/>
          <w:sz w:val="24"/>
          <w:szCs w:val="24"/>
          <w:lang w:eastAsia="ro-RO"/>
        </w:rPr>
        <w:t xml:space="preserve"> motive străine de natura cauzei)</w:t>
      </w:r>
    </w:p>
    <w:p w14:paraId="292F09FB" w14:textId="6DD057BB"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Critica referitoare la aplicarea greşită a normelor de drept material (art. 488 ali</w:t>
      </w:r>
      <w:r w:rsidR="005449B9" w:rsidRPr="00250C7F">
        <w:rPr>
          <w:rFonts w:ascii="Times New Roman" w:eastAsia="Times New Roman" w:hAnsi="Times New Roman" w:cs="Times New Roman"/>
          <w:sz w:val="24"/>
          <w:szCs w:val="24"/>
          <w:lang w:eastAsia="ro-RO"/>
        </w:rPr>
        <w:t xml:space="preserve">n. 1 pct. 8 C.pr.civ.) vizează </w:t>
      </w:r>
      <w:r w:rsidRPr="00250C7F">
        <w:rPr>
          <w:rFonts w:ascii="Times New Roman" w:eastAsia="Times New Roman" w:hAnsi="Times New Roman" w:cs="Times New Roman"/>
          <w:sz w:val="24"/>
          <w:szCs w:val="24"/>
          <w:lang w:eastAsia="ro-RO"/>
        </w:rPr>
        <w:t>modalitatea în care instanţa a evaluat asupra inexistenţei prejudiciului şi respectiv, a faptei ilicite a pârâtului (cabinet de avocat).</w:t>
      </w:r>
    </w:p>
    <w:p w14:paraId="0C9EA9E5"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Chiar corecte fiind susţinerile recurentei conform cărora instanţa n-ar fi putut aprecia  - altfel decât substituindu-se instanţei de executare – care ar fi fost soluţia în contestaţia la executare dacă ar fi fost promovată cu respectarea termenului procedural, ele nu demonstrează nelegalitatea deciziei atacate pentru argumentele arătate anterior, în legătură cu lipsa caracterului necesar al acestor considerente în adoptarea soluţiei.</w:t>
      </w:r>
    </w:p>
    <w:p w14:paraId="3DE86326" w14:textId="77777777" w:rsidR="00781F75" w:rsidRPr="00250C7F" w:rsidRDefault="00781F75" w:rsidP="00781F75">
      <w:pPr>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 xml:space="preserve">Analiza pe fond a acestor critici ar fi fost determinantă doar în situaţia în care reclamanta ar fi învestit instanţa într-un cadru procesual adecvat, care să ţină seama de diferenţele de </w:t>
      </w:r>
      <w:r w:rsidRPr="00250C7F">
        <w:rPr>
          <w:rFonts w:ascii="Times New Roman" w:eastAsia="Times New Roman" w:hAnsi="Times New Roman" w:cs="Times New Roman"/>
          <w:sz w:val="24"/>
          <w:szCs w:val="24"/>
          <w:lang w:eastAsia="ro-RO"/>
        </w:rPr>
        <w:lastRenderedPageBreak/>
        <w:t>reglementare între cele două forme ale răspunderii juridice, de existenţa unei răspunderi civile de drept comun (cea delictuală) şi a uneia având caracter special sau derogatoriu (cea contractuală), care se activează ori de câte ori există o asemenea legătură juridică între părţi, fără posibilitatea de a o înlătura sau de a opta în favoarea altor reguli.</w:t>
      </w:r>
    </w:p>
    <w:p w14:paraId="1730820C" w14:textId="77777777" w:rsidR="00781F75" w:rsidRPr="00250C7F" w:rsidRDefault="00781F75" w:rsidP="00781F75">
      <w:pPr>
        <w:spacing w:after="0" w:line="276" w:lineRule="auto"/>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sz w:val="24"/>
          <w:szCs w:val="24"/>
          <w:lang w:eastAsia="ro-RO"/>
        </w:rPr>
        <w:tab/>
      </w:r>
      <w:r w:rsidRPr="00250C7F">
        <w:rPr>
          <w:rFonts w:ascii="Times New Roman" w:eastAsia="Times New Roman" w:hAnsi="Times New Roman" w:cs="Times New Roman"/>
          <w:iCs/>
          <w:sz w:val="24"/>
          <w:szCs w:val="24"/>
          <w:lang w:eastAsia="ro-RO"/>
        </w:rPr>
        <w:t xml:space="preserve">Nici referirile la dispozițiile Statutului profesiei de avocat, care stipulează obligațiile ce revin avocatului, în reprezentarea clientului, cu diligența unui bun profesionist, nu sunt apte să sprijine vreo critică de nelegalitate, în contextul cadrului procesual fixat. Aceasta întrucât astfel de obligații nu se pot analiza în abstract, ci raportat la contractul părților, pentru ca în funcție de clauzele fixate să se poată determina dacă au fost sau nu îndeplinite obligațiile de diligență asumate. </w:t>
      </w:r>
    </w:p>
    <w:p w14:paraId="3AF9C6A6" w14:textId="77777777" w:rsidR="00781F75" w:rsidRPr="00250C7F" w:rsidRDefault="00781F75" w:rsidP="00781F75">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Altminteri, trimiterile făcute de reclamantă la dispozițiile Legii de organizare a avocaturii (art. 39 din Legea nr. 51/1995), ca și la dispozițiile statutare ale acestei profesii, nu pot impune decât concluzia afirmării unei răspunderi civile delictuale (respectarea regulilor de conduită pe care legea le impune, astfel încât să nu se aducă atingere drepturilor sau intereselor legitime ale altei persoane, în sensul art. 1.349 C.civ.), adică a dreptului comun în materie, cu nesocotirea caracterului special al răspunderii contractuale.</w:t>
      </w:r>
    </w:p>
    <w:p w14:paraId="5F2AF350" w14:textId="1439811D" w:rsidR="00F267E8" w:rsidRPr="00250C7F" w:rsidRDefault="00781F75" w:rsidP="006B5492">
      <w:pPr>
        <w:spacing w:after="0" w:line="276" w:lineRule="auto"/>
        <w:ind w:firstLine="567"/>
        <w:contextualSpacing/>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Ca atare, niciunul din motivele de nelegalitate invocate nu poate fi primit, conform considerentelor expuse, recursul fiind respins în consecință.</w:t>
      </w:r>
    </w:p>
    <w:p w14:paraId="0164E5C4" w14:textId="5B8A25E6" w:rsidR="006B5492" w:rsidRPr="00250C7F" w:rsidRDefault="006B5492" w:rsidP="00C7648A">
      <w:pPr>
        <w:spacing w:after="0" w:line="276" w:lineRule="auto"/>
        <w:contextualSpacing/>
        <w:jc w:val="both"/>
        <w:rPr>
          <w:rFonts w:ascii="Times New Roman" w:eastAsia="Times New Roman" w:hAnsi="Times New Roman" w:cs="Times New Roman"/>
          <w:iCs/>
          <w:sz w:val="24"/>
          <w:szCs w:val="24"/>
          <w:lang w:eastAsia="ro-RO"/>
        </w:rPr>
      </w:pPr>
    </w:p>
    <w:p w14:paraId="0DC524F3" w14:textId="027A7681" w:rsidR="006F1CBC" w:rsidRPr="00250C7F" w:rsidRDefault="006F1CBC" w:rsidP="00891584">
      <w:pPr>
        <w:pStyle w:val="Heading2"/>
        <w:spacing w:line="276" w:lineRule="auto"/>
        <w:jc w:val="center"/>
        <w:rPr>
          <w:rFonts w:ascii="Times New Roman" w:hAnsi="Times New Roman" w:cs="Times New Roman"/>
          <w:b/>
          <w:bCs/>
          <w:i/>
          <w:color w:val="auto"/>
          <w:sz w:val="24"/>
          <w:szCs w:val="24"/>
        </w:rPr>
      </w:pPr>
      <w:bookmarkStart w:id="15" w:name="_Toc84584805"/>
      <w:r w:rsidRPr="00250C7F">
        <w:rPr>
          <w:rFonts w:ascii="Times New Roman" w:hAnsi="Times New Roman" w:cs="Times New Roman"/>
          <w:b/>
          <w:bCs/>
          <w:i/>
          <w:color w:val="auto"/>
          <w:sz w:val="24"/>
          <w:szCs w:val="24"/>
        </w:rPr>
        <w:t>II. Dreptul proprietăţii intelectuale</w:t>
      </w:r>
      <w:bookmarkEnd w:id="15"/>
    </w:p>
    <w:p w14:paraId="5F272C6E" w14:textId="77777777" w:rsidR="00D71A7D" w:rsidRPr="00250C7F" w:rsidRDefault="00D71A7D" w:rsidP="00EA153E">
      <w:pPr>
        <w:spacing w:line="276" w:lineRule="auto"/>
        <w:jc w:val="both"/>
      </w:pPr>
    </w:p>
    <w:p w14:paraId="00C1FA23" w14:textId="5B69A64F" w:rsidR="00A9433C" w:rsidRPr="00250C7F" w:rsidRDefault="00797BFA" w:rsidP="00797BFA">
      <w:pPr>
        <w:pStyle w:val="Heading3"/>
        <w:spacing w:before="0" w:line="276" w:lineRule="auto"/>
        <w:jc w:val="both"/>
        <w:rPr>
          <w:rFonts w:ascii="Times New Roman" w:eastAsia="Times New Roman" w:hAnsi="Times New Roman" w:cs="Times New Roman"/>
          <w:b/>
          <w:bCs/>
          <w:color w:val="auto"/>
          <w:lang w:eastAsia="ro-RO"/>
        </w:rPr>
      </w:pPr>
      <w:bookmarkStart w:id="16" w:name="_Toc84584806"/>
      <w:r w:rsidRPr="00250C7F">
        <w:rPr>
          <w:rFonts w:ascii="Times New Roman" w:hAnsi="Times New Roman" w:cs="Times New Roman"/>
          <w:b/>
          <w:color w:val="auto"/>
        </w:rPr>
        <w:t>5</w:t>
      </w:r>
      <w:r w:rsidR="006F1CBC" w:rsidRPr="00250C7F">
        <w:rPr>
          <w:rFonts w:ascii="Times New Roman" w:hAnsi="Times New Roman" w:cs="Times New Roman"/>
          <w:b/>
          <w:color w:val="auto"/>
        </w:rPr>
        <w:t xml:space="preserve">. </w:t>
      </w:r>
      <w:r w:rsidR="00EA153E" w:rsidRPr="00250C7F">
        <w:rPr>
          <w:rFonts w:ascii="Times New Roman" w:eastAsia="Times New Roman" w:hAnsi="Times New Roman" w:cs="Times New Roman"/>
          <w:b/>
          <w:bCs/>
          <w:color w:val="auto"/>
          <w:lang w:eastAsia="ro-RO"/>
        </w:rPr>
        <w:t>Conflict între marcă și denumirea unei societăţi comerciale. Similaritate scăzută a semnelor. Produse şi servicii identice. Utilizarea semnului conform practicilor loiale</w:t>
      </w:r>
      <w:bookmarkEnd w:id="16"/>
    </w:p>
    <w:p w14:paraId="5CD7B145" w14:textId="77777777" w:rsidR="00A9433C" w:rsidRPr="00250C7F" w:rsidRDefault="00A9433C" w:rsidP="00CB3E33">
      <w:pPr>
        <w:spacing w:after="0" w:line="240" w:lineRule="auto"/>
        <w:rPr>
          <w:highlight w:val="yellow"/>
          <w:lang w:eastAsia="ro-RO"/>
        </w:rPr>
      </w:pPr>
    </w:p>
    <w:p w14:paraId="6C6763C0" w14:textId="7D016567" w:rsidR="00A9433C" w:rsidRPr="00250C7F" w:rsidRDefault="00EA153E" w:rsidP="00CB3E33">
      <w:pPr>
        <w:spacing w:after="0" w:line="240" w:lineRule="auto"/>
        <w:jc w:val="right"/>
        <w:rPr>
          <w:rFonts w:ascii="Times New Roman" w:hAnsi="Times New Roman" w:cs="Times New Roman"/>
          <w:bCs/>
          <w:sz w:val="24"/>
          <w:szCs w:val="24"/>
        </w:rPr>
      </w:pPr>
      <w:r w:rsidRPr="00250C7F">
        <w:rPr>
          <w:rFonts w:ascii="Times New Roman" w:hAnsi="Times New Roman" w:cs="Times New Roman"/>
          <w:bCs/>
          <w:sz w:val="24"/>
          <w:szCs w:val="24"/>
        </w:rPr>
        <w:t>Legea nr. 84/1998, art. 36, art. 39</w:t>
      </w:r>
    </w:p>
    <w:p w14:paraId="399C233E" w14:textId="77777777" w:rsidR="00CB3E33" w:rsidRPr="00250C7F" w:rsidRDefault="00CB3E33" w:rsidP="00CB3E33">
      <w:pPr>
        <w:spacing w:after="0" w:line="240" w:lineRule="auto"/>
        <w:jc w:val="right"/>
        <w:rPr>
          <w:rFonts w:ascii="Times New Roman" w:hAnsi="Times New Roman" w:cs="Times New Roman"/>
          <w:bCs/>
          <w:sz w:val="24"/>
          <w:szCs w:val="24"/>
        </w:rPr>
      </w:pPr>
    </w:p>
    <w:p w14:paraId="40AF02E0" w14:textId="77777777" w:rsidR="00EA153E" w:rsidRPr="00250C7F" w:rsidRDefault="00EA153E" w:rsidP="00EA153E">
      <w:pPr>
        <w:spacing w:line="276" w:lineRule="auto"/>
        <w:ind w:firstLine="708"/>
        <w:contextualSpacing/>
        <w:jc w:val="both"/>
        <w:rPr>
          <w:rFonts w:ascii="Times New Roman" w:hAnsi="Times New Roman" w:cs="Times New Roman"/>
          <w:bCs/>
          <w:i/>
          <w:sz w:val="24"/>
          <w:szCs w:val="24"/>
        </w:rPr>
      </w:pPr>
      <w:r w:rsidRPr="00250C7F">
        <w:rPr>
          <w:rFonts w:ascii="Times New Roman" w:hAnsi="Times New Roman" w:cs="Times New Roman"/>
          <w:bCs/>
          <w:i/>
          <w:sz w:val="24"/>
          <w:szCs w:val="24"/>
        </w:rPr>
        <w:t>Din interpretarea logică, sistematică și teleologică a dispozițiilor art. 39 alin. (1) lit. a) și alin. (2) din Legea nr. 84/1998, reiese voința legiuitorului de a permite coexistența unor semne apartenente categoriilor juridice de marcă și, respectiv, de nume comercial care au ca titulari persoane diferite, sub condiția/limitarea ca numele comercial să fie folosit în acord cu bunele practici în domeniul de activitate. Prin acest mod de reglementare se instituie, practic, o prezumție de utilizare a numelui comercial în conformitate cu scopul lui (care este acela de a permite diferențierea profesionistului-comerciant de alte entități cu același statut juridic) concomitent cu conferirea posibilității ca această prezumție legală să fie răsturnată, de titularul dreptului asupra unei mărci, prin probe care relevă o folosință neconformă bunelor practici din domeniul comercial ori industrial.</w:t>
      </w:r>
    </w:p>
    <w:p w14:paraId="150E2272" w14:textId="41F2B837" w:rsidR="00EA153E" w:rsidRPr="00250C7F" w:rsidRDefault="00EA153E" w:rsidP="00EA153E">
      <w:pPr>
        <w:spacing w:line="276" w:lineRule="auto"/>
        <w:ind w:firstLine="708"/>
        <w:contextualSpacing/>
        <w:jc w:val="both"/>
        <w:rPr>
          <w:rFonts w:ascii="Times New Roman" w:hAnsi="Times New Roman" w:cs="Times New Roman"/>
          <w:bCs/>
          <w:i/>
          <w:sz w:val="24"/>
          <w:szCs w:val="24"/>
        </w:rPr>
      </w:pPr>
      <w:r w:rsidRPr="00250C7F">
        <w:rPr>
          <w:rFonts w:ascii="Times New Roman" w:hAnsi="Times New Roman" w:cs="Times New Roman"/>
          <w:bCs/>
          <w:i/>
          <w:sz w:val="24"/>
          <w:szCs w:val="24"/>
        </w:rPr>
        <w:t>Or, în condițiile în care s-a stabilit că modalitatea în care societatea pârâtă a folosit propriul nume comercial a fost conformă bunelor practici comerciale, respectiv că aceasta este prezumată că a utilizat numele în modul specific de a fi individualizată în cadrul activității comerciale pe care o desfășoară atâta vreme cât nu au fost administrate probe concludente care să ateste că numele comercial ar fi fost folosit cu destinaţia de a indica originea serviciilor pe care le oferă/prestează, nu sunt incidente prevederile de excepție înscrise în art. 39 alin. (2) din Legea nr. 84/1998.</w:t>
      </w:r>
    </w:p>
    <w:p w14:paraId="5A4C2570" w14:textId="77777777" w:rsidR="00EA153E" w:rsidRPr="00250C7F" w:rsidRDefault="00EA153E" w:rsidP="00EA153E">
      <w:pPr>
        <w:spacing w:line="276" w:lineRule="auto"/>
        <w:ind w:firstLine="708"/>
        <w:contextualSpacing/>
        <w:jc w:val="both"/>
        <w:rPr>
          <w:rFonts w:ascii="Times New Roman" w:hAnsi="Times New Roman" w:cs="Times New Roman"/>
          <w:bCs/>
          <w:i/>
          <w:sz w:val="24"/>
          <w:szCs w:val="24"/>
        </w:rPr>
      </w:pPr>
      <w:r w:rsidRPr="00250C7F">
        <w:rPr>
          <w:rFonts w:ascii="Times New Roman" w:hAnsi="Times New Roman" w:cs="Times New Roman"/>
          <w:bCs/>
          <w:i/>
          <w:sz w:val="24"/>
          <w:szCs w:val="24"/>
        </w:rPr>
        <w:lastRenderedPageBreak/>
        <w:t xml:space="preserve">Chiar dacă există un potenţial risc de confuzie, în condiţiile unei similarităţi scăzute a semnelor în conflict, date de elementul verbal comun, măsura de interzicere a folosirii numelui comercial nu se poate dispune câtă vreme nu este îndeplinită cerinţa (distinctă şi necesară) impusă de hotărârea pronunțată de C.J.U.E. în cauza Celine, anume aceea ca numele comercial  să fie folosit de o manieră specifică uneia dintre funcțiile esențiale ale mărcii, respectiv de a identifica originea produselor sau serviciilor. </w:t>
      </w:r>
    </w:p>
    <w:p w14:paraId="3645121B" w14:textId="77777777" w:rsidR="00EA153E" w:rsidRPr="00250C7F" w:rsidRDefault="00EA153E" w:rsidP="00EA153E">
      <w:pPr>
        <w:spacing w:line="276" w:lineRule="auto"/>
        <w:ind w:firstLine="708"/>
        <w:contextualSpacing/>
        <w:jc w:val="both"/>
        <w:rPr>
          <w:rFonts w:ascii="Times New Roman" w:hAnsi="Times New Roman" w:cs="Times New Roman"/>
          <w:bCs/>
          <w:i/>
          <w:sz w:val="24"/>
          <w:szCs w:val="24"/>
        </w:rPr>
      </w:pPr>
      <w:r w:rsidRPr="00250C7F">
        <w:rPr>
          <w:rFonts w:ascii="Times New Roman" w:hAnsi="Times New Roman" w:cs="Times New Roman"/>
          <w:bCs/>
          <w:i/>
          <w:sz w:val="24"/>
          <w:szCs w:val="24"/>
        </w:rPr>
        <w:t>Simpla înregistrare a numelui comercial având elemente de similitudine cu marca nu poate demonstra utilizarea acestuia cu funcție de identificare a serviciilor sau produselor oferite de titular, ţinând seama de faptul că legea - prin prevederile art. 39 din Legea nr. 84/1998 - nu permite titularului unei mărci să  se opună folosirii unui nume comercial decât în anumite condiții de excepție. Cum titularul mărcii a invocat una dintre aceste condiții – anume folosirea numelui comercial în mod contrar bunelor practici din domeniul comercial, incluzându-se în această sferă și utilizarea lui pentru a distinge produsele ori serviciile oferite – instanța ar fi putut dispune măsura interzicerii folosirii numelui comercial numai în măsura în care ar fi constatat că pârâta, distinct de actul juridic al înregistrării numelui comercial, ar fi săvârșit acte de folosință a acestui nume care să fi fost neconforme bunelor practici în domeniul comercial sau industrial.</w:t>
      </w:r>
    </w:p>
    <w:p w14:paraId="12D4562D" w14:textId="77777777" w:rsidR="00EA153E" w:rsidRPr="00250C7F" w:rsidRDefault="00EA153E" w:rsidP="00EA153E">
      <w:pPr>
        <w:spacing w:line="276" w:lineRule="auto"/>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           </w:t>
      </w:r>
    </w:p>
    <w:p w14:paraId="76FAB0F2" w14:textId="77777777" w:rsidR="00EA153E" w:rsidRPr="00250C7F" w:rsidRDefault="00EA153E" w:rsidP="00EA153E">
      <w:pPr>
        <w:spacing w:line="276" w:lineRule="auto"/>
        <w:contextualSpacing/>
        <w:rPr>
          <w:rFonts w:ascii="Times New Roman" w:hAnsi="Times New Roman" w:cs="Times New Roman"/>
          <w:sz w:val="24"/>
          <w:szCs w:val="24"/>
        </w:rPr>
      </w:pPr>
      <w:r w:rsidRPr="00250C7F">
        <w:rPr>
          <w:rFonts w:ascii="Times New Roman" w:hAnsi="Times New Roman" w:cs="Times New Roman"/>
          <w:sz w:val="24"/>
          <w:szCs w:val="24"/>
        </w:rPr>
        <w:t>I.C.C.J., Secția I civilă, decizia nr. 498 din 26 martie 2021</w:t>
      </w:r>
    </w:p>
    <w:p w14:paraId="0A632163" w14:textId="77777777" w:rsidR="00EA153E" w:rsidRPr="00250C7F" w:rsidRDefault="00EA153E" w:rsidP="00EA153E">
      <w:pPr>
        <w:spacing w:line="276" w:lineRule="auto"/>
        <w:contextualSpacing/>
        <w:jc w:val="center"/>
        <w:rPr>
          <w:rFonts w:ascii="Times New Roman" w:hAnsi="Times New Roman" w:cs="Times New Roman"/>
          <w:sz w:val="24"/>
          <w:szCs w:val="24"/>
        </w:rPr>
      </w:pPr>
    </w:p>
    <w:p w14:paraId="180494FB" w14:textId="1791DD17" w:rsidR="00EA153E" w:rsidRPr="00250C7F" w:rsidRDefault="00EA153E" w:rsidP="00EA153E">
      <w:pPr>
        <w:spacing w:line="276" w:lineRule="auto"/>
        <w:contextualSpacing/>
        <w:jc w:val="both"/>
        <w:rPr>
          <w:rFonts w:ascii="Times New Roman" w:hAnsi="Times New Roman" w:cs="Times New Roman"/>
          <w:b/>
          <w:sz w:val="24"/>
          <w:szCs w:val="24"/>
        </w:rPr>
      </w:pPr>
      <w:r w:rsidRPr="00250C7F">
        <w:rPr>
          <w:rFonts w:ascii="Times New Roman" w:hAnsi="Times New Roman" w:cs="Times New Roman"/>
          <w:sz w:val="24"/>
          <w:szCs w:val="24"/>
        </w:rPr>
        <w:tab/>
      </w:r>
      <w:r w:rsidRPr="00250C7F">
        <w:rPr>
          <w:rFonts w:ascii="Times New Roman" w:hAnsi="Times New Roman" w:cs="Times New Roman"/>
          <w:b/>
          <w:sz w:val="24"/>
          <w:szCs w:val="24"/>
        </w:rPr>
        <w:t>I. Circumstanţele cauzei</w:t>
      </w:r>
    </w:p>
    <w:p w14:paraId="02D415A3" w14:textId="51DB7D4B" w:rsidR="00EA153E" w:rsidRPr="00250C7F" w:rsidRDefault="00EA153E" w:rsidP="00EA153E">
      <w:pPr>
        <w:spacing w:line="276" w:lineRule="auto"/>
        <w:contextualSpacing/>
        <w:jc w:val="both"/>
        <w:rPr>
          <w:rFonts w:ascii="Times New Roman" w:hAnsi="Times New Roman" w:cs="Times New Roman"/>
          <w:b/>
          <w:sz w:val="24"/>
          <w:szCs w:val="24"/>
        </w:rPr>
      </w:pPr>
      <w:r w:rsidRPr="00250C7F">
        <w:rPr>
          <w:rFonts w:ascii="Times New Roman" w:hAnsi="Times New Roman" w:cs="Times New Roman"/>
          <w:b/>
          <w:sz w:val="24"/>
          <w:szCs w:val="24"/>
        </w:rPr>
        <w:tab/>
        <w:t>1. Obiectul cererii de chemare în judecată:</w:t>
      </w:r>
    </w:p>
    <w:p w14:paraId="1D4EC763" w14:textId="77777777" w:rsidR="00EA153E" w:rsidRPr="00250C7F" w:rsidRDefault="00EA153E" w:rsidP="00EA153E">
      <w:pPr>
        <w:spacing w:line="276" w:lineRule="auto"/>
        <w:ind w:firstLine="709"/>
        <w:contextualSpacing/>
        <w:jc w:val="both"/>
        <w:rPr>
          <w:rFonts w:ascii="Times New Roman" w:hAnsi="Times New Roman" w:cs="Times New Roman"/>
          <w:sz w:val="24"/>
          <w:szCs w:val="24"/>
        </w:rPr>
      </w:pPr>
      <w:r w:rsidRPr="00250C7F">
        <w:rPr>
          <w:rFonts w:ascii="Times New Roman" w:hAnsi="Times New Roman" w:cs="Times New Roman"/>
          <w:sz w:val="24"/>
          <w:szCs w:val="24"/>
        </w:rPr>
        <w:t>Prin cererea înregistrată  pe rolul Tribunalului Bucureşti - Secţia a VI-a civilă, reclamanta A. S.R.L. a chemat în judecată pe pârâţii B. S.R.L. şi Oficiul Naţional al Registrului Comerţului prin Oficiul Registrului Comerţului de pe lângă Tribunalul Bucureşti, solicitând: anularea înregistrării numelui comercial (denumirea firmei) al societăţii pârâte B. SRL; interzicerea utilizării acestuia, denumirea de comerciant încălcând dreptul de utilizare al mărcii aparţinând reclamantei. In subsidiar, reclamanta a solicitat obligarea pârâtei B. SRL la modificarea denumirii firmei, în termen de 5 zile calendaristice de la data rămânerii definitive a hotărârii, prin înlăturarea cuvântului "Viarom" din cuprinsul acesteia, astfel încât denumirea sa să se deosebească fără nici un risc de confuzie de cea a reclamantei, în sensul celor prevăzute de art. 38 din Legea nr. 26/1990 privind registrul comerţului.</w:t>
      </w:r>
    </w:p>
    <w:p w14:paraId="7243EB25" w14:textId="77777777" w:rsidR="00EA153E" w:rsidRPr="00250C7F" w:rsidRDefault="00EA153E" w:rsidP="00EA153E">
      <w:pPr>
        <w:spacing w:line="276" w:lineRule="auto"/>
        <w:ind w:firstLine="709"/>
        <w:contextualSpacing/>
        <w:jc w:val="both"/>
        <w:rPr>
          <w:rFonts w:ascii="Times New Roman" w:hAnsi="Times New Roman" w:cs="Times New Roman"/>
          <w:sz w:val="24"/>
          <w:szCs w:val="24"/>
        </w:rPr>
      </w:pPr>
      <w:r w:rsidRPr="00250C7F">
        <w:rPr>
          <w:rFonts w:ascii="Times New Roman" w:hAnsi="Times New Roman" w:cs="Times New Roman"/>
          <w:sz w:val="24"/>
          <w:szCs w:val="24"/>
        </w:rPr>
        <w:t>Totodată, reclamanta a solicitat: obligarea pârâtei B. SRL la plata către reclamantă de daune cominatorii în valoare de 10.000 RON pe fiecare zi de întârziere în schimbarea denumirii sale, calculate de la data împlinirii termenului de 5 zile de mai sus şi până la punerea ei efectivă în executare de către pârâtă; obligarea pârâtului Oficiul Naţional al Registrului Comerţului prin Oficiul Registrului Comerţului de pe lângă Tribunalul Bucureşti la radierea denumirii societăţii B. SRL, ca urmare fie a anulării înregistrării numelui comercial, anume interzicerii utilizării acestuia pe capătul principal de cerere, fie în cazul în care în termen de maxim 30 de zile de la data rămânerii definitive a hotărârii judecătoreşti aceasta nu îşi schimbă denumirea prin eliminarea cuvântului "Viarom" din cuprinsul acesteia pe capătul subsidiar de cerere, în temeiul dispoziţiilor art. 25 din Legea nr. 26/1990.</w:t>
      </w:r>
    </w:p>
    <w:p w14:paraId="32A0D48A" w14:textId="77777777" w:rsidR="00EA153E" w:rsidRPr="00250C7F" w:rsidRDefault="00EA153E" w:rsidP="00EA153E">
      <w:pPr>
        <w:spacing w:line="276" w:lineRule="auto"/>
        <w:ind w:firstLine="709"/>
        <w:contextualSpacing/>
        <w:jc w:val="both"/>
        <w:rPr>
          <w:rFonts w:ascii="Times New Roman" w:hAnsi="Times New Roman" w:cs="Times New Roman"/>
          <w:sz w:val="24"/>
          <w:szCs w:val="24"/>
        </w:rPr>
      </w:pPr>
      <w:r w:rsidRPr="00250C7F">
        <w:rPr>
          <w:rFonts w:ascii="Times New Roman" w:hAnsi="Times New Roman" w:cs="Times New Roman"/>
          <w:bCs/>
          <w:sz w:val="24"/>
          <w:szCs w:val="24"/>
        </w:rPr>
        <w:t>La data de 6 februarie 2017,</w:t>
      </w:r>
      <w:r w:rsidRPr="00250C7F">
        <w:rPr>
          <w:rFonts w:ascii="Times New Roman" w:hAnsi="Times New Roman" w:cs="Times New Roman"/>
          <w:sz w:val="24"/>
          <w:szCs w:val="24"/>
        </w:rPr>
        <w:t xml:space="preserve"> reclamanta şi-a precizat cererea cu privire la temeiul de drept, prin care a solicitat:</w:t>
      </w:r>
    </w:p>
    <w:p w14:paraId="5F0693C3"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lastRenderedPageBreak/>
        <w:t>- pentru primul capăt de cerere - anularea numelui comercial al pârâtei, anume interzicerea utilizării acestuia - prevederile art. 36 alin. (1) şi alin. (2) lit. a) şi b) din Legea nr. 84/1998, coroborat cu dispoziţiile art. 5 alin. (1) lit. b) din Directiva 89/104/CEE</w:t>
      </w:r>
    </w:p>
    <w:p w14:paraId="1A5F93AE"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pentru cel de-al doilea capăt de cerere - obligarea pârâtei la modificarea denumirii firmei prin înlăturarea cuvântului „Viarom” - prevederile art. 30 alin. (4) coroborat cu prevederile art. 38 din Legea nr. 26/1990.</w:t>
      </w:r>
    </w:p>
    <w:p w14:paraId="5FB14D01"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pentru cel de-al treilea capăt de cerere - obligarea pârâtei la plata către reclamantă de daune cominatorii în valoare de 10.000 RON pe fiecare zi de întârziere în schimbarea denumirii sale - dispoziţiile art. 48 alin. (2) din Legea nr. 31/1990, coroborat cu dispoziţiile art. 903 şi art. 906 Cod procedură civilă.</w:t>
      </w:r>
    </w:p>
    <w:p w14:paraId="2FE4148D"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pentru al patrulea capăt de cerere - obligarea pârâtului O.N.R.C. la radierea denumirii societăţii B. SRL - prevederile art. 25 din Legea nr. 26/1990.</w:t>
      </w:r>
    </w:p>
    <w:p w14:paraId="5BF5425B" w14:textId="77777777" w:rsidR="00EA153E" w:rsidRPr="00250C7F" w:rsidRDefault="00EA153E" w:rsidP="00EA153E">
      <w:pPr>
        <w:spacing w:line="276" w:lineRule="auto"/>
        <w:ind w:firstLine="709"/>
        <w:contextualSpacing/>
        <w:jc w:val="both"/>
        <w:rPr>
          <w:rFonts w:ascii="Times New Roman" w:hAnsi="Times New Roman" w:cs="Times New Roman"/>
          <w:sz w:val="24"/>
          <w:szCs w:val="24"/>
        </w:rPr>
      </w:pPr>
      <w:r w:rsidRPr="00250C7F">
        <w:rPr>
          <w:rFonts w:ascii="Times New Roman" w:hAnsi="Times New Roman" w:cs="Times New Roman"/>
          <w:bCs/>
          <w:sz w:val="24"/>
          <w:szCs w:val="24"/>
        </w:rPr>
        <w:t>Prin încheierea din 8.05.2017,</w:t>
      </w:r>
      <w:r w:rsidRPr="00250C7F">
        <w:rPr>
          <w:rFonts w:ascii="Times New Roman" w:hAnsi="Times New Roman" w:cs="Times New Roman"/>
          <w:sz w:val="24"/>
          <w:szCs w:val="24"/>
        </w:rPr>
        <w:t xml:space="preserve"> Tribunalul București a respins excepția lipsei calității procesuale pasive invocată de ONRC.</w:t>
      </w:r>
    </w:p>
    <w:p w14:paraId="6AFF94CB" w14:textId="77777777" w:rsidR="00EA153E" w:rsidRPr="00250C7F" w:rsidRDefault="00EA153E" w:rsidP="00EA153E">
      <w:pPr>
        <w:spacing w:line="276" w:lineRule="auto"/>
        <w:ind w:firstLine="708"/>
        <w:contextualSpacing/>
        <w:jc w:val="both"/>
        <w:rPr>
          <w:rFonts w:ascii="Times New Roman" w:hAnsi="Times New Roman" w:cs="Times New Roman"/>
          <w:b/>
          <w:sz w:val="24"/>
          <w:szCs w:val="24"/>
        </w:rPr>
      </w:pPr>
      <w:r w:rsidRPr="00250C7F">
        <w:rPr>
          <w:rFonts w:ascii="Times New Roman" w:hAnsi="Times New Roman" w:cs="Times New Roman"/>
          <w:b/>
          <w:sz w:val="24"/>
          <w:szCs w:val="24"/>
        </w:rPr>
        <w:t>2. Hotărârea pronunţată în primă instanţă de Tribunalul Bucureşti:</w:t>
      </w:r>
    </w:p>
    <w:p w14:paraId="69FC13A0"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xml:space="preserve">Prin sentinţa civilă nr. 1862 din 15.05.2017 a fost respinsă, ca neîntemeiată, cererea astfel formulată și precizată de reclamanta A. S.R.L. </w:t>
      </w:r>
    </w:p>
    <w:p w14:paraId="0689BFEA" w14:textId="6C627A17" w:rsidR="00EA153E" w:rsidRPr="00250C7F" w:rsidRDefault="00EA153E" w:rsidP="00EA153E">
      <w:pPr>
        <w:spacing w:line="276" w:lineRule="auto"/>
        <w:ind w:firstLine="708"/>
        <w:contextualSpacing/>
        <w:jc w:val="both"/>
        <w:rPr>
          <w:rFonts w:ascii="Times New Roman" w:hAnsi="Times New Roman" w:cs="Times New Roman"/>
          <w:b/>
          <w:sz w:val="24"/>
          <w:szCs w:val="24"/>
        </w:rPr>
      </w:pPr>
      <w:r w:rsidRPr="00250C7F">
        <w:rPr>
          <w:rFonts w:ascii="Times New Roman" w:hAnsi="Times New Roman" w:cs="Times New Roman"/>
          <w:b/>
          <w:sz w:val="24"/>
          <w:szCs w:val="24"/>
        </w:rPr>
        <w:t>3. Decizia pronunţată în apel de Curtea de Apel Bucureşti:</w:t>
      </w:r>
    </w:p>
    <w:p w14:paraId="6D941EDD"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Împotriva acestei sentințe, reclamanta a declarat apel.</w:t>
      </w:r>
    </w:p>
    <w:p w14:paraId="66710097"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Prin decizia nr. 1058A din 3.10.2018 pronunţată de Curtea de Apel Bucureşti - Secţia a IV-a civilă, a fost respins, ca nefondat, apelul astfel promovat de apelanta-reclamantă. A fost obligată apelanta la plata către intimată a sumei de 12.469,59 lei, cu titlu de cheltuieli de judecată.</w:t>
      </w:r>
    </w:p>
    <w:p w14:paraId="183087E2"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xml:space="preserve">Prin încheierea din 18.09.2019 a fost admisă cererea formulată de apelanta A. S.R.L., de lămurire a dispozitivului deciziei civile nr. 1058A/2018, dispunându-se lămurirea în sensul că suma acordată cu titlu de cheltuieli de judecată este reprezentată de cheltuielile de judecată de la fond şi cele din apel. </w:t>
      </w:r>
    </w:p>
    <w:p w14:paraId="18D9B994" w14:textId="655ED888" w:rsidR="00EA153E" w:rsidRPr="00250C7F" w:rsidRDefault="00EA153E" w:rsidP="00EA153E">
      <w:pPr>
        <w:spacing w:line="276" w:lineRule="auto"/>
        <w:ind w:firstLine="708"/>
        <w:contextualSpacing/>
        <w:jc w:val="both"/>
        <w:rPr>
          <w:rFonts w:ascii="Times New Roman" w:hAnsi="Times New Roman" w:cs="Times New Roman"/>
          <w:b/>
          <w:sz w:val="24"/>
          <w:szCs w:val="24"/>
        </w:rPr>
      </w:pPr>
      <w:r w:rsidRPr="00250C7F">
        <w:rPr>
          <w:rFonts w:ascii="Times New Roman" w:hAnsi="Times New Roman" w:cs="Times New Roman"/>
          <w:b/>
          <w:sz w:val="24"/>
          <w:szCs w:val="24"/>
        </w:rPr>
        <w:t>4. Calea de atac exercitată în cauză:</w:t>
      </w:r>
    </w:p>
    <w:p w14:paraId="73B11963"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Împotriva acestei din urmă hotărâri a declarat recurs reclamanta.</w:t>
      </w:r>
    </w:p>
    <w:p w14:paraId="6C27D4C3"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xml:space="preserve">În motivarea căii de atac astfel exercitate se susține în esență că: </w:t>
      </w:r>
    </w:p>
    <w:p w14:paraId="4F1A28F6" w14:textId="0CC1946A"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1. Instanţa de apel, deşi a avut în vedere cauza de referinţă în materia analizării conflictului dintre un nume comercial şi marcă - Cauza Celine-, a încălcat şi aplicat în mod greşit prevederile art. 36 alin. (1) şi alin. (2) lit. a) şi b) coroborate cu prevederile art. 39 alin. (1) lit. a) şi alin. (2)  din Legea nr. 84/1998, concluzionând că nu se poate reţine faptul că simpla folosire a numelui comercial de B. în acord cu funcţia lui ar aduce atingere drepturilor asupra mărcilor „Viarom".</w:t>
      </w:r>
    </w:p>
    <w:p w14:paraId="39A24367"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Prin raportare la raţionamentul CJUE din Cauza Celine, titularul unei mărci poate solicita interzicerea utilizării de către un terţ a unui semn identic cu marca, în aplicarea art. 5 alin. (1) lit. b) din Directiva 89/104/CEE (corespondentul art. 5 alin. (I) lit. b) din Directiva 2008/95/CE, prevedere transpusă în legislaţia internă în cadrul art. 36 alin. (1) lit. b) din Legea nr. 84/1998 mărcile şi indicaţiile geografice), în măsura în care sunt îndeplinite cumulativ următoarele condiţii: utilizarea să aibă loc în cadrul comerţului; utilizarea să aibă loc fără consimţământul titularului mărcii; utilizarea să aibă loc pentru produse şi servicii identice sau similare cu cele pentru care a fost înregistrată marca; utilizarea să aducă atingere sau să fie susceptibilă de a aduce atingere funcţiei esenţiale a mărcii - aceea de a garanta consumatorilor provenienţa produselor sau a serviciilor.</w:t>
      </w:r>
    </w:p>
    <w:p w14:paraId="21009EB0"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lastRenderedPageBreak/>
        <w:t>Afirmă recurenta că, în speță, sunt îndeplinite toate condiţiile anterior menţionate pentru a se dispune interzicerea utilizării de către intimata B. a numelui său comercial identic cu mărcile „Viarom", și concluzionează că instanţa de apel a interpretat şi aplicat în mod greşit normele de drept material.</w:t>
      </w:r>
    </w:p>
    <w:p w14:paraId="2FD4785E"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xml:space="preserve">Intimata B. SRL foloseşte acest nume comercial în cadrul activităţii sale comerciale, fiind evident faptul că toate documentele financiar-contabile, ofertele comerciale, etc. conţin această denumire. </w:t>
      </w:r>
    </w:p>
    <w:p w14:paraId="051A6AFE"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De asemenea, precizează că intimata nu a deţinut vreodată consimţământul recurentei reclamante cu privire la utilizarea semnului „Viarom".</w:t>
      </w:r>
    </w:p>
    <w:p w14:paraId="618758A1"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Din perspectiva celei de-a treia condiții, se arată că este îndeplinită întrucât utilizarea acestui semn are loc pentru produse sau servicii identice sau similare cu cele pentru care au fost înregistrate mărcile „Viarom" de către recurentă, aspect care rezultă din faptul că: obiectul principal de activitate al intimatei coincide cu cel al recurentei (codul CAEN 4211 - Lucrări de construcţii a drumurilor şi a autostrăzilor, ambele societăţi desfăşurându-şi activitatea cu preponderenţă în Municipiul Bucureşti) şi intimata participă la licitaţiile în domeniu, cu această ocazie luând cunoştinţă de existenţa societăţii intimate, respectiv de numele său comercial.</w:t>
      </w:r>
    </w:p>
    <w:p w14:paraId="206007D5"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Recurenta consideră că şi cea de-a patra condiţie este îndeplinită, fiind adusă o atingere funcţiei esenţiale a mărcilor „Viarom", creându-se un risc de confuzie în percepţia publicului asupra garanţiei provenienţei serviciului prestat, atâta vreme cât elementele dominante ale mărcilor „Viarom" şi ale semnului sunt identice, iar riscul de confuzie este iminent.</w:t>
      </w:r>
    </w:p>
    <w:p w14:paraId="1F194D13"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Se mai arată că simpla adăugare, la numele comercial al intimatei, a  apelativului „ING" nu este de natură să elimine confuzia creată prin utilizarea denumirii "Viarom" şi nici să înlăture riscul de apariţie a acesteia prin asocierea acestei denumiri cu marca, cu atât mai mult cu cât apelativul "ING" nu are vreo legătură cu activitatea principală desfăşurată de societatea intimată. La analizarea riscului de confuzie, inclusiv riscul de asociere, este necesar să se stabilească dacă utilizarea de către intimată a semnului de „B." are loc „pentru produse sau servicii", adică dacă o astfel de utilizare are loc prin aplicarea semnului care constituie numele său comercial pe produsele pe care le comercializează ori serviciile pe care le prestează sau, chiar în lipsa aplicării semnului pe produse/servicii, îl utilizează într-o asemenea manieră încât se stabileşte o legătură între semnul care constituie numele său comercial şi produsele pe care le comercializează ori serviciile pe care le prestează.</w:t>
      </w:r>
    </w:p>
    <w:p w14:paraId="28AE8B73"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xml:space="preserve">Susține recurenta că utilizarea semnului de către intimată are loc atât cu depăşirea funcţiilor atribuite prin lege numelui său comercial (pentru a se identifica între ceilalţi comercianţi şi a-şi desemna propriul fond de comerţ), cât şi pentru a-şi distinge propriile produse/servicii de ale celorlalte întreprinderi, deci nu cu titlu de nume comercial, ci cu titlu de marcă. </w:t>
      </w:r>
    </w:p>
    <w:p w14:paraId="4B28816F"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Afirmă recurenta că existenţa riscului de confuzie a fost recunoscută şi de instanţă de apel, care a reținut că „există riscul ca serviciile oferite sau prestate sub marca „Viarom" să fie atribuite intimatei B. SRL, să se considere că recurenta şi intimata fac parte dintr-un grup de firme sau că există între ele legături juridice sau tehnice ".</w:t>
      </w:r>
    </w:p>
    <w:p w14:paraId="7FE1FEEA" w14:textId="19FE26FF" w:rsidR="00EA153E" w:rsidRPr="00250C7F" w:rsidRDefault="00EA153E" w:rsidP="005449B9">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Instanţa de apel s-a limitat să reţină că în cauză nu s-a dovedit că societatea B. SRL a folosit numele său comercial ca marcă, ci doar ca denumire a societăţii, astfel încât nu s-ar aduce atinge</w:t>
      </w:r>
      <w:r w:rsidR="005449B9" w:rsidRPr="00250C7F">
        <w:rPr>
          <w:rFonts w:ascii="Times New Roman" w:hAnsi="Times New Roman" w:cs="Times New Roman"/>
          <w:sz w:val="24"/>
          <w:szCs w:val="24"/>
        </w:rPr>
        <w:t xml:space="preserve">re drepturilor asupra mărcilor </w:t>
      </w:r>
      <w:r w:rsidRPr="00250C7F">
        <w:rPr>
          <w:rFonts w:ascii="Times New Roman" w:hAnsi="Times New Roman" w:cs="Times New Roman"/>
          <w:sz w:val="24"/>
          <w:szCs w:val="24"/>
        </w:rPr>
        <w:t>„Viarom".</w:t>
      </w:r>
    </w:p>
    <w:p w14:paraId="622CB72C" w14:textId="3765DD75" w:rsidR="00EA153E" w:rsidRPr="00250C7F" w:rsidRDefault="00EA153E" w:rsidP="005449B9">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lastRenderedPageBreak/>
        <w:t>În acest context, subliniază recurenta că numele comercial identifică comerciantul în mod direct, în relaţiile sale cu clienţii şi partenerii de afaceri, iar marca identifică comerciantul prin prisma produselor şi serviciilor acestuia, individualizându-1 în raport cu alţi comercianţi.</w:t>
      </w:r>
    </w:p>
    <w:p w14:paraId="687BF4FD"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În cazul serviciilor, marca este acel semn pe care comerciantul îl aduce la cunoştinţă consumatorului, pe orice cale, pentru a realiza în acest fel o asociere între serviciul oferit şi un anumit semn.</w:t>
      </w:r>
    </w:p>
    <w:p w14:paraId="76727E3A"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Numele comercial are, pe lângă funcţia de identificare a comerciantului şi pe cea de raliere a clientelei. Marca identifică un comerciant, prin prisma produselor şi serviciilor sale, şi le individualizează în raport cu cele ale altor comercianţi, una din funcţiile sale fiind şi acea de raliere a clientelei.</w:t>
      </w:r>
    </w:p>
    <w:p w14:paraId="21615BA0"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Astfel, numele comercial al intimatei ce conţine sintagma „Viarom, îndeplineşte – în opinia recurentei - şi funcţiile specifice mărcii, de individualizare a serviciilor şi intră în conflict cu numele comercial anterior şi mărcile „Viarom".</w:t>
      </w:r>
    </w:p>
    <w:p w14:paraId="2F04D9F9"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xml:space="preserve">Făcând referire la hotărârea dată de Curtea Europeană de Justiţie în cauza C-23/01 Robeco Groep NV, recurenta susține că nu trebuie demonstrat faptul că numele comercial de „B." este folosit pentru a distinge produsele şi serviciile, fiind suficient că acesta este folosit doar pentru propria identificare, individualizare între ceilalţi comercianţi. </w:t>
      </w:r>
    </w:p>
    <w:p w14:paraId="682AFEEB"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Astfel, consideră că este evident faptul că, prin folosirea de către intimată a numelui comercial similar mărcilor „Viarom", intimata ar putea profita de caracterul distinctiv al mărcilor, consumatorii putând crede că societatea B. SRL este o filială sau sucursală a recurentei A. SRL şi că produsele sau serviciile furnizate de intimată provin (prin asociere) de la societatea recurentă.</w:t>
      </w:r>
    </w:p>
    <w:p w14:paraId="548278ED"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Cu privire la  aprecierea în sensul că utilizarea de către intimată a numelui său comercial a fost conformă practicilor loiale din domeniul industrial sau comercial, susține recurenta că prin aceasta instanţa de apel a încălcat şi aplicat greşit prevederile art. 39 alin. (1) lit. a) şi alin. (2) din Legea nr. 84/1998 . Chiar dacă noţiunea de "bune practici în domeniul industrial ori comercial" nu este definită sau explicitată în mod expres în legislaţia română, aprecierea privind respectarea bunelor practici se poate face prin raportare la dispoziţiile Legii nr. 11/1991 privind combaterea concurenţei neloiale, din interpretarea art. 1 al acestei legi rezultând obligaţia comercianţilor de a-şi exercita activitatea cu bună-credinţă, potrivit uzanţelor cinstite, cu respectarea intereselor consumatorilor şi a cerinţelor concurenţei loiale.</w:t>
      </w:r>
    </w:p>
    <w:p w14:paraId="2C660A18"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xml:space="preserve">Se arată că recurenta-reclamantă a demonstrat faptul că folosirea de către intimată a sintagmei de „Viarom" în cuprinsul denumirii sale comerciale reprezintă un act de concurenţă neloială, susţinere întărită de faptul că aceasta a recunoscut, în cuprinsul întâmpinării formulate în faţa instanţei de fond, că denumirea actuală de B. SRL nu a fost prima opţiune a asociaţilor, fiind alese o serie de trei denumiri care, însă, nu au fost disponibile pentru rezervare. </w:t>
      </w:r>
    </w:p>
    <w:p w14:paraId="619E0712"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Mai mult decât atât, înregistrarea de către intimată la Registrul Comerţului a denumirii comerciale de B. reprezintă prin ea însăşi un act ce contravine bunei practici în domeniul industrial ori comercial.</w:t>
      </w:r>
    </w:p>
    <w:p w14:paraId="06821AE7"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De asemenea, prin folosirea numelui comercial similar mărcilor „Viarom", intimata ar putea profita de caracterul distinctiv al mărcilor, consumatorii putând crede că B. SRL este o filială sau sucursală a recurentei şi că produsele sau serviciile furnizate de către intimată provin de la titularul mărcilor „Viarom".</w:t>
      </w:r>
    </w:p>
    <w:p w14:paraId="484ECFD5"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 xml:space="preserve">O altă critică susținută de recurentă este în sensul că instanța de apel a reținut, din cuprinsul hotărârii pronunţate de către CJUE în cauza Celine, doar acele susţineri care favorizau </w:t>
      </w:r>
      <w:r w:rsidRPr="00250C7F">
        <w:rPr>
          <w:rFonts w:ascii="Times New Roman" w:hAnsi="Times New Roman" w:cs="Times New Roman"/>
          <w:sz w:val="24"/>
          <w:szCs w:val="24"/>
        </w:rPr>
        <w:lastRenderedPageBreak/>
        <w:t xml:space="preserve">raţionamentul adoptat, fără a avea în vedere și statuările care se regăsesc la paragrafele 50, 54 şi 55 din aceeași hotărâre. </w:t>
      </w:r>
    </w:p>
    <w:p w14:paraId="1287F5E6"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2. Instanţa de apel a pronunţat o hotărâre cu încălcarea şi aplicarea greşită a prevederilor art. 30 alin. (4) coroborate cu prevederile art. 38 din Legea nr. 26/1990 privind registrul comerţului, prin constatările în sensul: că prin adăugarea, de către intimată, a sintagmei „ING" la „Viarom" se asigură distinctivitatea propriului nume comercial; că particula „ING" nu este printre cuvintele pe care art. 29 alin. (4) lit. i) din Ordinul Ministrului Justiţiei nr. 2594/2008 nu le consideră ca având caracter distinctiv, şi nici nu este asemănătoare cu aceste cuvinte.</w:t>
      </w:r>
    </w:p>
    <w:p w14:paraId="04F13207"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Prevederile art. 29 alin. (3) din Normele Metodologice din 10 octombrie 2008 stabilesc faptul că: „O firmă este distinctivă atunci când constă într-o denumire care nu este necesară, generică sau uzuală... ".</w:t>
      </w:r>
    </w:p>
    <w:p w14:paraId="3CAB1E69" w14:textId="4C3427E5" w:rsidR="00EA153E" w:rsidRPr="00250C7F" w:rsidRDefault="00EA153E" w:rsidP="005449B9">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Acelaşi text de lege enunță condiţiile pe bază cărora se apreciază distinctivit</w:t>
      </w:r>
      <w:r w:rsidR="005449B9" w:rsidRPr="00250C7F">
        <w:rPr>
          <w:rFonts w:ascii="Times New Roman" w:hAnsi="Times New Roman" w:cs="Times New Roman"/>
          <w:sz w:val="24"/>
          <w:szCs w:val="24"/>
        </w:rPr>
        <w:t xml:space="preserve">atea, prevăzând în teza finală </w:t>
      </w:r>
      <w:r w:rsidRPr="00250C7F">
        <w:rPr>
          <w:rFonts w:ascii="Times New Roman" w:hAnsi="Times New Roman" w:cs="Times New Roman"/>
          <w:sz w:val="24"/>
          <w:szCs w:val="24"/>
        </w:rPr>
        <w:t>„... şi atunci când nu este identică sau similară cu alte firme înregistrate anterior în Registrul Comerțului”.</w:t>
      </w:r>
    </w:p>
    <w:p w14:paraId="0933C6C1" w14:textId="75243C36" w:rsidR="00EA153E" w:rsidRPr="00250C7F" w:rsidRDefault="00EA153E" w:rsidP="005449B9">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În speță, consideră recurenta că există identitate între elementul dominant identificator (Viarom) şi similitudine pe întreaga denumire, raportat şi la dispoziţiile art. 29 alin. (4) lit. i) din Normele Metodologice d</w:t>
      </w:r>
      <w:r w:rsidR="005449B9" w:rsidRPr="00250C7F">
        <w:rPr>
          <w:rFonts w:ascii="Times New Roman" w:hAnsi="Times New Roman" w:cs="Times New Roman"/>
          <w:sz w:val="24"/>
          <w:szCs w:val="24"/>
        </w:rPr>
        <w:t xml:space="preserve">in 10 </w:t>
      </w:r>
      <w:r w:rsidRPr="00250C7F">
        <w:rPr>
          <w:rFonts w:ascii="Times New Roman" w:hAnsi="Times New Roman" w:cs="Times New Roman"/>
          <w:sz w:val="24"/>
          <w:szCs w:val="24"/>
        </w:rPr>
        <w:t xml:space="preserve">octombrie 2008. </w:t>
      </w:r>
    </w:p>
    <w:p w14:paraId="225C80EE"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Intimata a înlocuit "(...)" cu "ING", iar această operaţiune este oprită prin norma juridică anterior invocată fiindcă elementele verbale „(...)" şi „ING" fac parte din categoria cuvintelor enumerate cu titlu exhaustiv de menţionata prevedere legală (în cea de-a doua teză).</w:t>
      </w:r>
    </w:p>
    <w:p w14:paraId="51CAE162"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Consideră recurenta că, prin folosirea de către intimată a numelui comercial de B. SRL, se încalcă dreptul primeia asupra propriului nume comercial, anterior înregistrat, acesta beneficiind de protecţie prin raportare la prevederile art. 1 alin. (2) din Convenţia de la Paris - care generează un drept de proprietate industrială anterior înregistrat/recunoscut.</w:t>
      </w:r>
    </w:p>
    <w:p w14:paraId="6F354BE8"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3. Nelegalitatea deciziei recurate este argumentată de recurentă și prin prisma încălcării prevederilor art. 452, a art. 453 coroborate cu prevederile art. 478 alin. (3) cod pr.civ., raportat la dispoziția prin care recurenta a fost obligată la plata către intimata B. SRL a sumei de 12.469,59 lei cu titlu de cheltuieli de judecată pentru fond şi apel, fără a se avea în vedere că, în faţa instanţei de fond, intimata a declarat faptul că îşi rezervă dreptul să solicite acordarea cheltuielilor de judecată pe cale separată.</w:t>
      </w:r>
    </w:p>
    <w:p w14:paraId="6AAE0548"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Având în vedere că intimata B. SRL nu a probat asemenea cheltuieli până la momentul închiderii dezbaterilor şi a declarat, în faţa primei instanţe, că îşi rezervă dreptul de a valorifica aceste pretenţii pe cale separată, se susține că, prin admiterea în apel și a pretenţiei privitoare la acordarea cheltuielilor de judecată aferentei judecăţii în primă instanţă, s-au încălcat normele de drept procedural a căror nerespectare atrage sancţiunea nulităţii hotărârii pronunţate. Solicitarea acordării acestor cheltuielilor de judecată direct în faţa instanţei de apel constituie o pretenţie nouă, din moment ce în faţa instanţei de fond s-a renunţat la solicitarea acestora, respectiv au fost solicitate pe cale separată.</w:t>
      </w:r>
    </w:p>
    <w:p w14:paraId="310D7AB1" w14:textId="6000B35E" w:rsidR="00EA153E" w:rsidRPr="00250C7F" w:rsidRDefault="00EA153E" w:rsidP="00EA153E">
      <w:pPr>
        <w:spacing w:line="276" w:lineRule="auto"/>
        <w:ind w:firstLine="708"/>
        <w:contextualSpacing/>
        <w:jc w:val="both"/>
        <w:rPr>
          <w:rFonts w:ascii="Times New Roman" w:hAnsi="Times New Roman" w:cs="Times New Roman"/>
          <w:b/>
          <w:sz w:val="24"/>
          <w:szCs w:val="24"/>
        </w:rPr>
      </w:pPr>
      <w:r w:rsidRPr="00250C7F">
        <w:rPr>
          <w:rFonts w:ascii="Times New Roman" w:hAnsi="Times New Roman" w:cs="Times New Roman"/>
          <w:b/>
          <w:sz w:val="24"/>
          <w:szCs w:val="24"/>
        </w:rPr>
        <w:t>5. Apărările formulate în cauză:</w:t>
      </w:r>
    </w:p>
    <w:p w14:paraId="6D28A27A" w14:textId="77777777" w:rsidR="00EA153E" w:rsidRPr="00250C7F" w:rsidRDefault="00EA153E" w:rsidP="00EA153E">
      <w:pPr>
        <w:spacing w:line="276" w:lineRule="auto"/>
        <w:ind w:firstLine="708"/>
        <w:contextualSpacing/>
        <w:jc w:val="both"/>
        <w:rPr>
          <w:rFonts w:ascii="Times New Roman" w:hAnsi="Times New Roman" w:cs="Times New Roman"/>
          <w:sz w:val="24"/>
          <w:szCs w:val="24"/>
        </w:rPr>
      </w:pPr>
      <w:r w:rsidRPr="00250C7F">
        <w:rPr>
          <w:rFonts w:ascii="Times New Roman" w:hAnsi="Times New Roman" w:cs="Times New Roman"/>
          <w:sz w:val="24"/>
          <w:szCs w:val="24"/>
        </w:rPr>
        <w:t>Intimatul Oficiul Naţional al Registrului Comerţului, prin Oficiul Registrului Comerţului de pe lângă Tribunalul Bucureşti a formulat întâmpinare la recursul formulat de recurenta-reclamantă, relevând în esenţă faptul că înregistrarea societăţii intimate la Oficiul Registrului Comerţului a fost realizată cu respectarea prevederilor Legii 26/1990. Totodată, a precizat că lasă la aprecierea instanţei soluţia ce se va adopta în privinţa recursului.</w:t>
      </w:r>
    </w:p>
    <w:p w14:paraId="4AEE1BC7" w14:textId="16B4669A" w:rsidR="00EA153E" w:rsidRPr="00250C7F" w:rsidRDefault="00EA153E" w:rsidP="00EA153E">
      <w:pPr>
        <w:spacing w:line="276" w:lineRule="auto"/>
        <w:ind w:firstLine="708"/>
        <w:contextualSpacing/>
        <w:jc w:val="both"/>
        <w:rPr>
          <w:rFonts w:ascii="Times New Roman" w:hAnsi="Times New Roman" w:cs="Times New Roman"/>
          <w:b/>
          <w:sz w:val="24"/>
          <w:szCs w:val="24"/>
        </w:rPr>
      </w:pPr>
      <w:r w:rsidRPr="00250C7F">
        <w:rPr>
          <w:rFonts w:ascii="Times New Roman" w:hAnsi="Times New Roman" w:cs="Times New Roman"/>
          <w:b/>
          <w:sz w:val="24"/>
          <w:szCs w:val="24"/>
        </w:rPr>
        <w:lastRenderedPageBreak/>
        <w:t>6.  Soluția instanței de recurs:</w:t>
      </w:r>
    </w:p>
    <w:p w14:paraId="2BAC8C11"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Analizând recursul în raport de actele și lucrările dosarului, de criticile formulate și de prevederile art. 488 din C.pr.civ., Înalta Curte reține următoarele:</w:t>
      </w:r>
    </w:p>
    <w:p w14:paraId="1F93CC72" w14:textId="77777777" w:rsidR="00EA153E" w:rsidRPr="00250C7F" w:rsidRDefault="00EA153E" w:rsidP="00EA153E">
      <w:pPr>
        <w:spacing w:after="0" w:line="276" w:lineRule="auto"/>
        <w:ind w:firstLine="708"/>
        <w:jc w:val="both"/>
        <w:rPr>
          <w:rFonts w:ascii="Times New Roman" w:hAnsi="Times New Roman" w:cs="Times New Roman"/>
          <w:bCs/>
          <w:sz w:val="24"/>
          <w:szCs w:val="24"/>
        </w:rPr>
      </w:pPr>
      <w:r w:rsidRPr="00250C7F">
        <w:rPr>
          <w:rFonts w:ascii="Times New Roman" w:hAnsi="Times New Roman" w:cs="Times New Roman"/>
          <w:bCs/>
          <w:sz w:val="24"/>
          <w:szCs w:val="24"/>
        </w:rPr>
        <w:t>1. Sunt nefondate criticile formulate în cadrul primului motiv de recurs, pe care recurenta l-a circumscris cazului de casare reglementat de art. 488 pct. 8 din C.pr.civ., pentru considerentele care vor fi expuse în cele ce urmează:</w:t>
      </w:r>
    </w:p>
    <w:p w14:paraId="59B0CFDC" w14:textId="62422BB6" w:rsidR="00EA153E" w:rsidRPr="00250C7F" w:rsidRDefault="00EA153E" w:rsidP="00EA153E">
      <w:pPr>
        <w:spacing w:after="0" w:line="276" w:lineRule="auto"/>
        <w:ind w:firstLine="708"/>
        <w:jc w:val="both"/>
        <w:rPr>
          <w:rFonts w:ascii="Times New Roman" w:hAnsi="Times New Roman" w:cs="Times New Roman"/>
          <w:bCs/>
          <w:sz w:val="24"/>
          <w:szCs w:val="24"/>
        </w:rPr>
      </w:pPr>
      <w:r w:rsidRPr="00250C7F">
        <w:rPr>
          <w:rFonts w:ascii="Times New Roman" w:hAnsi="Times New Roman" w:cs="Times New Roman"/>
          <w:bCs/>
          <w:sz w:val="24"/>
          <w:szCs w:val="24"/>
        </w:rPr>
        <w:t xml:space="preserve">Sub un prim aspect se susține că, deși instanța de apel avut în vedere dezlegările date de Curtea de Justiție a Uniunii Europene în cauza Celine, a aplicat în mod eronat prevederile art. 36 alin. 1 și alin. 2 lit. a) și b) coroborat cu art. 39 alin. 1 lit. a)  și alin. 2 din Legea 84/1998, apreciind că  nu se poate reține faptul că simpla folosire a numelui comercial al pârâtei intimate (anume B.) în acord cu funcția lui ar aduce atingere drepturilor asupra mărcilor Viarom. </w:t>
      </w:r>
    </w:p>
    <w:p w14:paraId="6F230116" w14:textId="77777777" w:rsidR="00EA153E" w:rsidRPr="00250C7F" w:rsidRDefault="00EA153E" w:rsidP="00EA153E">
      <w:pPr>
        <w:spacing w:after="0" w:line="276" w:lineRule="auto"/>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b/>
        <w:t xml:space="preserve">Argumentele expuse în fundamentarea acestei critici nu relevă, însă, aspecte de aplicare eronată a menţionatelor prevederi legale şi nici o lipsire a acestora de conținut (cum afirmă recurenta), ci reliefează dezacordul recurentei relativ la situația de fapt ce a fost stabilită de instanţa de apel ca urmare a exercitării competenței ce îi este conferită prin art. 264 din C.pr.civ., anume aceea de a evalua în mod liber probele ce au fost administrate în cadrul procesului. </w:t>
      </w:r>
    </w:p>
    <w:p w14:paraId="2CEDA4DA" w14:textId="77777777" w:rsidR="00EA153E" w:rsidRPr="00250C7F" w:rsidRDefault="00EA153E" w:rsidP="00EA153E">
      <w:pPr>
        <w:spacing w:after="0"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În acest context este util a fi observat că reiese din considerentele hotărârii recurate că aprecierea făcută de instanță în sensul că numele comercial al pârâtei intimate a fost folosit de aceasta în acord cu funcția lui a avut ca premisă o efectivă analiză a mijloacelor de probă pe care părțile au înțeles să le administreze relativ la această chestiune. În condițiile în care prevederile legale speciale pe care recurenta le invocă - art. 36 și 39 din Legea 84/1998 – nu instituie reguli obligatorii care să impună a se echivala orice mod de utilizare a unui nume comercial cu o încălcare a dreptului asupra unei mărci care include un semn identic ori similar cu respectivul nume comercial, revenea instanței îndatorirea de a cerceta si stabili, în speţă, (şi) următoarele aspecte: dacă există identitate sau similitudine între, pe de o parte, semnul care constituie numele comercial al pârâtei intimate (adică sintagma B.) și, pe de altă parte, semnele care au fost înregistrate ca mărci de către recurenta reclamantă; dacă există un risc de confuzie între numele comercial și mărcile a căror încălcare a fost invocată de reclamantă; dacă parata a folosit numele comercial de o manieră care să fie specifică uneia dintre funcțiile esenţiale ale mărcii, anume aceea de a garanta consumatorilor proveniența produselor sau a serviciilor.</w:t>
      </w:r>
    </w:p>
    <w:p w14:paraId="33D9FC6A"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În acest punct al analizei este esențial a se observa faptul că instanța de apel a reținut că mărcile recurentei reclamante – denumite de parte „mărcile Viarom” – sunt mărci combinate, </w:t>
      </w:r>
      <w:r w:rsidRPr="00250C7F">
        <w:rPr>
          <w:rFonts w:ascii="Times New Roman" w:hAnsi="Times New Roman" w:cs="Times New Roman"/>
          <w:bCs/>
          <w:i/>
          <w:iCs/>
          <w:sz w:val="24"/>
          <w:szCs w:val="24"/>
        </w:rPr>
        <w:t>conținând si elemente figurative</w:t>
      </w:r>
      <w:r w:rsidRPr="00250C7F">
        <w:rPr>
          <w:rFonts w:ascii="Times New Roman" w:hAnsi="Times New Roman" w:cs="Times New Roman"/>
          <w:bCs/>
          <w:sz w:val="24"/>
          <w:szCs w:val="24"/>
        </w:rPr>
        <w:t xml:space="preserve"> alături de elementul verbal Viarom. </w:t>
      </w:r>
    </w:p>
    <w:p w14:paraId="4CB53158" w14:textId="77777777" w:rsidR="00EA153E" w:rsidRPr="00250C7F" w:rsidRDefault="00EA153E" w:rsidP="00EA153E">
      <w:pPr>
        <w:spacing w:line="276" w:lineRule="auto"/>
        <w:ind w:firstLine="708"/>
        <w:contextualSpacing/>
        <w:jc w:val="both"/>
        <w:rPr>
          <w:rFonts w:ascii="Times New Roman" w:hAnsi="Times New Roman" w:cs="Times New Roman"/>
          <w:bCs/>
          <w:color w:val="FF0000"/>
          <w:sz w:val="24"/>
          <w:szCs w:val="24"/>
        </w:rPr>
      </w:pPr>
      <w:r w:rsidRPr="00250C7F">
        <w:rPr>
          <w:rFonts w:ascii="Times New Roman" w:hAnsi="Times New Roman" w:cs="Times New Roman"/>
          <w:bCs/>
          <w:sz w:val="24"/>
          <w:szCs w:val="24"/>
        </w:rPr>
        <w:t xml:space="preserve">Având în vedere că, în materia acțiunilor ce au ca obiect contrafacerea unei mărci, funcționează regula – degajată din jurisprudenţa Curţii de Justiţie a Uniunii Europene şi eficientizată în mod corespunzător în jurisprudenţa naţională - potrivit căreia, pentru evaluarea riscului de confuzie, analiza comparativă trebuie realizată între marcă astfel cum este ea înregistrată (adică ținând seama de ansamblul format din elementele care compun marca înregistrată), pe de o parte, și semnul căruia i se impută că ar aduce atingere drepturilor asupra mărcii, pe de altă parte, Înalta Curte constată că în mod eronat recurenta se raportează, în formularea criticilor din recurs, fie doar la elementul verbal Viarom al mărcilor sale, fie la sintagma „Viraom Construct” care nu se regăsește </w:t>
      </w:r>
      <w:r w:rsidRPr="00250C7F">
        <w:rPr>
          <w:rFonts w:ascii="Times New Roman" w:hAnsi="Times New Roman" w:cs="Times New Roman"/>
          <w:bCs/>
          <w:i/>
          <w:sz w:val="24"/>
          <w:szCs w:val="24"/>
        </w:rPr>
        <w:t>ca atare</w:t>
      </w:r>
      <w:r w:rsidRPr="00250C7F">
        <w:rPr>
          <w:rFonts w:ascii="Times New Roman" w:hAnsi="Times New Roman" w:cs="Times New Roman"/>
          <w:bCs/>
          <w:sz w:val="24"/>
          <w:szCs w:val="24"/>
        </w:rPr>
        <w:t xml:space="preserve"> în conținutul mărcilor. </w:t>
      </w:r>
    </w:p>
    <w:p w14:paraId="5E32D7B5"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Instanța de apel a făcut o corectă aplicare a menționatei reguli, în cadrul demersului de stabilire a gradului de asemănare/similitudine între mărcile înregistrate, pe de o parte, și numele </w:t>
      </w:r>
      <w:r w:rsidRPr="00250C7F">
        <w:rPr>
          <w:rFonts w:ascii="Times New Roman" w:hAnsi="Times New Roman" w:cs="Times New Roman"/>
          <w:bCs/>
          <w:sz w:val="24"/>
          <w:szCs w:val="24"/>
        </w:rPr>
        <w:lastRenderedPageBreak/>
        <w:t xml:space="preserve">comercial înregistrat și modalitatea de folosire a acestuia, pe de altă parte, evaluând în coordonatele adecvate existenţa atingerii ce se pretindea a fi fost adusă dreptului recurentei asupra mărcilor care conțin elementul verbal Viarom prin înregistrarea și prin utilizarea de către pârâtă a numelui comercial B. </w:t>
      </w:r>
    </w:p>
    <w:p w14:paraId="5F8A1351"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Cum recursul reprezintă o cale de atac ce permite – conform art. 488 din C.pr.civ. - exclusiv verificarea legalității deciziei atacate, situația de fapt stabilită de instanța de apel și analiza realizată în privința probelor nu pot fi reevaluate în prezenta etapă procesuală, astfel încât controlul judiciar se impune a fi efectuat prin raportare la respectiva situație de fapt.</w:t>
      </w:r>
    </w:p>
    <w:p w14:paraId="4F13FF17"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Prin urmare, în condițiile în care s-a reținut că există o similitudine între </w:t>
      </w:r>
      <w:r w:rsidRPr="00250C7F">
        <w:rPr>
          <w:rFonts w:ascii="Times New Roman" w:hAnsi="Times New Roman" w:cs="Times New Roman"/>
          <w:bCs/>
          <w:i/>
          <w:iCs/>
          <w:sz w:val="24"/>
          <w:szCs w:val="24"/>
        </w:rPr>
        <w:t>mărcile combinate</w:t>
      </w:r>
      <w:r w:rsidRPr="00250C7F">
        <w:rPr>
          <w:rFonts w:ascii="Times New Roman" w:hAnsi="Times New Roman" w:cs="Times New Roman"/>
          <w:bCs/>
          <w:sz w:val="24"/>
          <w:szCs w:val="24"/>
        </w:rPr>
        <w:t xml:space="preserve"> ale reclamatei recurente și </w:t>
      </w:r>
      <w:r w:rsidRPr="00250C7F">
        <w:rPr>
          <w:rFonts w:ascii="Times New Roman" w:hAnsi="Times New Roman" w:cs="Times New Roman"/>
          <w:bCs/>
          <w:i/>
          <w:iCs/>
          <w:sz w:val="24"/>
          <w:szCs w:val="24"/>
        </w:rPr>
        <w:t>numele comercial</w:t>
      </w:r>
      <w:r w:rsidRPr="00250C7F">
        <w:rPr>
          <w:rFonts w:ascii="Times New Roman" w:hAnsi="Times New Roman" w:cs="Times New Roman"/>
          <w:bCs/>
          <w:sz w:val="24"/>
          <w:szCs w:val="24"/>
        </w:rPr>
        <w:t xml:space="preserve"> al pârâtei – dar aceasta este una scăzută pentru că semnele comparate nu se reduc la cuvântul Viarom, ci ele includ alte elemente (figurative în cazul mărcilor și verbal în cazul numelui comercial) care asigură fiecăreia dintre aceste categorii distinctivitate vizuală și auditivă, în pofida elementului verbal comun Viarom, precum și pentru că sintagma B. are, din punct de vedere conceptual, capacitate distinctivă ridicată întrucât are caracter fantezist determinat de modul în care este alcătuită (alăturarea a două cuvinte care nu au o semnificație proprie în limba română) –, Înalta Curte constată că s-a făcut o corectă aplicare </w:t>
      </w:r>
      <w:r w:rsidRPr="00250C7F">
        <w:rPr>
          <w:rFonts w:ascii="Times New Roman" w:hAnsi="Times New Roman" w:cs="Times New Roman"/>
          <w:bCs/>
          <w:iCs/>
          <w:sz w:val="24"/>
          <w:szCs w:val="24"/>
        </w:rPr>
        <w:t>la situaţia de fapt concret stabilită a prevederilor</w:t>
      </w:r>
      <w:r w:rsidRPr="00250C7F">
        <w:rPr>
          <w:rFonts w:ascii="Times New Roman" w:hAnsi="Times New Roman" w:cs="Times New Roman"/>
          <w:bCs/>
          <w:sz w:val="24"/>
          <w:szCs w:val="24"/>
        </w:rPr>
        <w:t xml:space="preserve"> art. 36 alin 1 și alin. 2 lit. b) din Legea 84/1998 – reglementare care se referă la ipoteza utilizării unui semn identic sau asemănător cu marca, pentru produse sau servicii identice sau similare, utilizare care să se realizeze într-o modalitate aptă să genereze un risc de confuzie. </w:t>
      </w:r>
    </w:p>
    <w:p w14:paraId="4D2DE813"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De altfel, este de remarcat că instanţa de apel a apreciat că, şi în condiţiile acestei similarităţi scăzute a semnelor în conflict, există un potenţial risc de confuzie, dar a reţinut – în cadrul analizei complexe realizate prin prisma exigenţelor de referinţă care se degajă atât din hotărârea pronunţată de CJUE în cauza CELINE cât şi din prevederile art. 36 alin. 2 lit. b) din Legea 84/1998 – că măsura de interzicere a folosirii de către pârâtă a numelui său comercial nu poate fi luată pentru că nu este îndeplinită cea de-a patra cerinţă (distinctă şi necesară) impusă de aceeaşi hotărâre a instanţei europene, anume de a se fi folosit numele comercial cu funcţia ce este specifică mărcii: de a identifica originea produselor sau serviciilor pârâtei. </w:t>
      </w:r>
    </w:p>
    <w:p w14:paraId="5CA9F984" w14:textId="6517321B" w:rsidR="00EA153E" w:rsidRPr="00250C7F" w:rsidRDefault="00EA153E" w:rsidP="003E3667">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Prevederile art. 36 alin. 2 lit a) din același act  normativ reglementează situația în care este vorba de utilizarea fără drept a unui </w:t>
      </w:r>
      <w:r w:rsidRPr="00250C7F">
        <w:rPr>
          <w:rFonts w:ascii="Times New Roman" w:hAnsi="Times New Roman" w:cs="Times New Roman"/>
          <w:bCs/>
          <w:i/>
          <w:sz w:val="24"/>
          <w:szCs w:val="24"/>
        </w:rPr>
        <w:t>semn identic</w:t>
      </w:r>
      <w:r w:rsidRPr="00250C7F">
        <w:rPr>
          <w:rFonts w:ascii="Times New Roman" w:hAnsi="Times New Roman" w:cs="Times New Roman"/>
          <w:bCs/>
          <w:sz w:val="24"/>
          <w:szCs w:val="24"/>
        </w:rPr>
        <w:t xml:space="preserve"> cu o marcă înregistrată (pentru produse sau servicii identice). Cum o atare identitate nu a fost stabilită în speță, nefiind vorba de utilizarea de către pârâta intimată a unui semn (numele comercial) identic cu mărcile înregistrate ale reclamantei recurente, se constată</w:t>
      </w:r>
      <w:r w:rsidR="003E3667" w:rsidRPr="00250C7F">
        <w:rPr>
          <w:rFonts w:ascii="Times New Roman" w:hAnsi="Times New Roman" w:cs="Times New Roman"/>
          <w:bCs/>
          <w:sz w:val="24"/>
          <w:szCs w:val="24"/>
        </w:rPr>
        <w:t xml:space="preserve"> că nu exista suportul factual </w:t>
      </w:r>
      <w:r w:rsidRPr="00250C7F">
        <w:rPr>
          <w:rFonts w:ascii="Times New Roman" w:hAnsi="Times New Roman" w:cs="Times New Roman"/>
          <w:bCs/>
          <w:sz w:val="24"/>
          <w:szCs w:val="24"/>
        </w:rPr>
        <w:t xml:space="preserve">adecvat spre a fi reținută incidența acestei norme. </w:t>
      </w:r>
    </w:p>
    <w:p w14:paraId="57A78834" w14:textId="1BBAA252" w:rsidR="00EA153E" w:rsidRPr="00250C7F" w:rsidRDefault="00EA153E" w:rsidP="003E3667">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În privința dispozițiilor art. 39 alin. 1 lit. a) și alin. 2 din Legea 84/1998, Înalta Curte constată că au fost și ele corect aplicate situației de fapt reținute de instanța de apel, anume aceea că pâr</w:t>
      </w:r>
      <w:r w:rsidR="003E3667" w:rsidRPr="00250C7F">
        <w:rPr>
          <w:rFonts w:ascii="Times New Roman" w:hAnsi="Times New Roman" w:cs="Times New Roman"/>
          <w:bCs/>
          <w:sz w:val="24"/>
          <w:szCs w:val="24"/>
        </w:rPr>
        <w:t xml:space="preserve">âta intimată a avut o conduită </w:t>
      </w:r>
      <w:r w:rsidRPr="00250C7F">
        <w:rPr>
          <w:rFonts w:ascii="Times New Roman" w:hAnsi="Times New Roman" w:cs="Times New Roman"/>
          <w:bCs/>
          <w:sz w:val="24"/>
          <w:szCs w:val="24"/>
        </w:rPr>
        <w:t>care a fost conformă bunelor practici din domeniul comercial.</w:t>
      </w:r>
    </w:p>
    <w:p w14:paraId="51211E1D"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Această din urmă reglementare consacră, prin alin. 1 litera a), regula potrivit căreia ,,</w:t>
      </w:r>
      <w:r w:rsidRPr="00250C7F">
        <w:rPr>
          <w:rFonts w:ascii="Times New Roman" w:hAnsi="Times New Roman" w:cs="Times New Roman"/>
          <w:bCs/>
          <w:i/>
          <w:iCs/>
          <w:sz w:val="24"/>
          <w:szCs w:val="24"/>
        </w:rPr>
        <w:t>Titularul mărcii nu poate cere să se interzică unui terț să folosească în activitatea sa comercială a) numele/denumirea sau adresa/sediul titularului</w:t>
      </w:r>
      <w:r w:rsidRPr="00250C7F">
        <w:rPr>
          <w:rFonts w:ascii="Times New Roman" w:hAnsi="Times New Roman" w:cs="Times New Roman"/>
          <w:bCs/>
          <w:sz w:val="24"/>
          <w:szCs w:val="24"/>
        </w:rPr>
        <w:t>”.</w:t>
      </w:r>
    </w:p>
    <w:p w14:paraId="05829156" w14:textId="55E74767" w:rsidR="00EA153E" w:rsidRPr="00250C7F" w:rsidRDefault="00EA153E" w:rsidP="003E3667">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În cadrul celui de-al doilea alineat al art. 39 din Legea nr.84/1998 este insti</w:t>
      </w:r>
      <w:r w:rsidR="003E3667" w:rsidRPr="00250C7F">
        <w:rPr>
          <w:rFonts w:ascii="Times New Roman" w:hAnsi="Times New Roman" w:cs="Times New Roman"/>
          <w:bCs/>
          <w:sz w:val="24"/>
          <w:szCs w:val="24"/>
        </w:rPr>
        <w:t xml:space="preserve">tuită o excepție de la această </w:t>
      </w:r>
      <w:r w:rsidRPr="00250C7F">
        <w:rPr>
          <w:rFonts w:ascii="Times New Roman" w:hAnsi="Times New Roman" w:cs="Times New Roman"/>
          <w:bCs/>
          <w:sz w:val="24"/>
          <w:szCs w:val="24"/>
        </w:rPr>
        <w:t>regulă, anume că ,,</w:t>
      </w:r>
      <w:r w:rsidRPr="00250C7F">
        <w:rPr>
          <w:rFonts w:ascii="Times New Roman" w:hAnsi="Times New Roman" w:cs="Times New Roman"/>
          <w:bCs/>
          <w:i/>
          <w:iCs/>
          <w:sz w:val="24"/>
          <w:szCs w:val="24"/>
        </w:rPr>
        <w:t>Dispozițiile alin. (1) sunt aplicabile cu condiția ca folosirea de către un terț a elementelor prevăzute la lit. a) și c) să fie conformă bunelor practici din domeniul industrial ori comercial</w:t>
      </w:r>
      <w:r w:rsidRPr="00250C7F">
        <w:rPr>
          <w:rFonts w:ascii="Times New Roman" w:hAnsi="Times New Roman" w:cs="Times New Roman"/>
          <w:bCs/>
          <w:sz w:val="24"/>
          <w:szCs w:val="24"/>
        </w:rPr>
        <w:t>”.</w:t>
      </w:r>
    </w:p>
    <w:p w14:paraId="7D0E425E"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lastRenderedPageBreak/>
        <w:t>Din interpretarea logică, sistematică și teleologică a dispozițiilor legale enunțate reiese voința legiuitorului de a permite coexistența unor semne apartenente categoriilor juridice de marcă și, respectiv, de nume comercial care au ca titulari persoane diferite, sub condiția/limitarea ca numele comercial să fie folosit în acord cu bunele practici în domeniul de activitate. Prin acest mod de reglementare se instituie, practic, o prezumție de utilizare a numelui comercial în conformitate cu scopul lui (care este acela de a permite diferențierea profesionistului-comerciant de alte entități cu același statut juridic) concomitent cu conferirea posibilității ca această prezumție legală să fie răsturnată, de titularul dreptului asupra unei mărci, prin probe care relevă o folosință neconformă bunelor practici din domeniul comercial ori industrial.</w:t>
      </w:r>
    </w:p>
    <w:p w14:paraId="2714FDD8" w14:textId="77777777" w:rsidR="00EA153E" w:rsidRPr="00250C7F" w:rsidRDefault="00EA153E" w:rsidP="00EA153E">
      <w:pPr>
        <w:spacing w:line="276" w:lineRule="auto"/>
        <w:ind w:firstLine="708"/>
        <w:contextualSpacing/>
        <w:jc w:val="both"/>
        <w:rPr>
          <w:rFonts w:ascii="Times New Roman" w:hAnsi="Times New Roman" w:cs="Times New Roman"/>
          <w:bCs/>
          <w:i/>
          <w:iCs/>
          <w:sz w:val="24"/>
          <w:szCs w:val="24"/>
        </w:rPr>
      </w:pPr>
      <w:r w:rsidRPr="00250C7F">
        <w:rPr>
          <w:rFonts w:ascii="Times New Roman" w:hAnsi="Times New Roman" w:cs="Times New Roman"/>
          <w:bCs/>
          <w:sz w:val="24"/>
          <w:szCs w:val="24"/>
        </w:rPr>
        <w:t>În ceea ce privește numele comercial, se cere  a fi amintit că și acesta conferă un drept de proprietate industrială, în condițiile în care, chiar în lipsa unei prevederi exprese în legislația internă, această aptitudine trebuie recunoscută în temeiul art. 1 alin. (2) și (8) din Convenția de la Paris pentru protecția proprietății industriale din 20 martie 1883, a cărei formă revizuită la Stockholm în 1967 a fost ratificată de România prin Decretul nr. 1117/1968. Conform acestor reglementări:,,</w:t>
      </w:r>
      <w:r w:rsidRPr="00250C7F">
        <w:rPr>
          <w:rFonts w:ascii="Times New Roman" w:hAnsi="Times New Roman" w:cs="Times New Roman"/>
          <w:bCs/>
          <w:i/>
          <w:iCs/>
          <w:sz w:val="24"/>
          <w:szCs w:val="24"/>
        </w:rPr>
        <w:t>Protecţia proprietăţii industriale are ca obiect brevetele de invenţie, modelele de utilitate, desenele sau modelele industriale, mărcile de fabrica sau de comerţ, numele comercial şi indicaţiile de provenienţă sau denumirile de origine, precum şi reprimarea concurentei neloiale.(...)</w:t>
      </w:r>
    </w:p>
    <w:p w14:paraId="6B5B1E4F"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i/>
          <w:iCs/>
          <w:sz w:val="24"/>
          <w:szCs w:val="24"/>
        </w:rPr>
        <w:t>Numele comercial va fi protejat în toate ţările Uniunii, fără obligaţia depozitului sau a înregistrării, indiferent dacă el face sau nu parte dintr-o marca de fabrica sau de comerţ</w:t>
      </w:r>
      <w:r w:rsidRPr="00250C7F">
        <w:rPr>
          <w:rFonts w:ascii="Times New Roman" w:hAnsi="Times New Roman" w:cs="Times New Roman"/>
          <w:bCs/>
          <w:sz w:val="24"/>
          <w:szCs w:val="24"/>
        </w:rPr>
        <w:t>”.</w:t>
      </w:r>
    </w:p>
    <w:p w14:paraId="21A6AA8C" w14:textId="77777777" w:rsidR="00EA153E" w:rsidRPr="00250C7F" w:rsidRDefault="00EA153E" w:rsidP="00EA153E">
      <w:pPr>
        <w:spacing w:line="276" w:lineRule="auto"/>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b/>
        <w:t xml:space="preserve">Astfel, situația litigioasa dedusă judecății este una care relevă conflictul între două categorii de drepturi de proprietate industrială deopotrivă protejate juridic, iar stabilirea modului de folosire a unui nume comercial – anume dacă a fost sau nu conform bunele practici comerciale – nu a reprezentat altceva decât un aspect de fapt asupra căruia instanța de judecată era chemată să statueze pe baza probatoriului administrat. </w:t>
      </w:r>
    </w:p>
    <w:p w14:paraId="11E97B6D" w14:textId="77777777" w:rsidR="00EA153E" w:rsidRPr="00250C7F" w:rsidRDefault="00EA153E" w:rsidP="00EA153E">
      <w:pPr>
        <w:spacing w:line="276" w:lineRule="auto"/>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b/>
        <w:t>Or, în condițiile în care s-a stabilit că modalitatea în care pârâta intimată a folosit propriul nume comercial a fost conformă bunelor practici comerciale, respectiv că aceasta este prezumată că a utilizat numele în modul specific de a fi individualizată în cadrul activității comerciale pe care o desfășoară atâta vreme cât nu au fost administrate probe concludente care să ateste că numele comercial ar fi fost folosit cu destinaţia de a indica originea serviciilor pe care pârâta le oferă/prestează, Înalta Curte constată că instanța de apel a apreciat în mod judicios că nu sunt incidente prevederile de excepție înscrise în art. 39 alin. 2 raportat la art. 39 alin. 1 lit. a) din Legea 84/1998.</w:t>
      </w:r>
    </w:p>
    <w:p w14:paraId="4530D1C6" w14:textId="77777777" w:rsidR="00EA153E" w:rsidRPr="00250C7F" w:rsidRDefault="00EA153E" w:rsidP="00EA153E">
      <w:pPr>
        <w:spacing w:line="276" w:lineRule="auto"/>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b/>
        <w:t>Nefondate sunt și criticile prin care se susține că instanța de apel ar fi făcut o greșită analiză a cauzei, din perspectiva dezlegărilor ce rezidă din hotărârea pronunțată de CJUE în cauza Celine.</w:t>
      </w:r>
    </w:p>
    <w:p w14:paraId="7CEC7636"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În acest punct al analizei este necesar a fi amintit că, prin decizia recurată, s-a reținut neîndeplinirea numai a uneia dintre cele patru condiții care – potrivit menționatei hotărâri a instanței europene – trebuie întrunite cumulativ spre a se stabili încălcarea dreptului la marcă prin folosirea unui nume comercial, anume a condiţiei ca prin utilizarea numelui comercial de către pârâtă să se fi adus atingere funcției mărcii de a garanta originea serviciilor oferite/prestate.</w:t>
      </w:r>
    </w:p>
    <w:p w14:paraId="46D82185" w14:textId="33F424C5" w:rsidR="00EA153E" w:rsidRPr="00250C7F" w:rsidRDefault="00EA153E" w:rsidP="003E3667">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 În contextul în care instanța de apel a reținut că sunt îndeplinite celelalte trei condiții (anume: utilizarea numelui comercial să aibă loc în cadrul comerțului; utilizarea să aibă loc fără consimțământul reclamantei; utilizarea aceluiași semn să aibă loc pentru servicii identice sau </w:t>
      </w:r>
      <w:r w:rsidRPr="00250C7F">
        <w:rPr>
          <w:rFonts w:ascii="Times New Roman" w:hAnsi="Times New Roman" w:cs="Times New Roman"/>
          <w:bCs/>
          <w:sz w:val="24"/>
          <w:szCs w:val="24"/>
        </w:rPr>
        <w:lastRenderedPageBreak/>
        <w:t>similare cu cele pentru care au fost înregistrate mărcile reclamantei), se constată că argumentele prin care recurenta evidențiază co</w:t>
      </w:r>
      <w:r w:rsidR="003E3667" w:rsidRPr="00250C7F">
        <w:rPr>
          <w:rFonts w:ascii="Times New Roman" w:hAnsi="Times New Roman" w:cs="Times New Roman"/>
          <w:bCs/>
          <w:sz w:val="24"/>
          <w:szCs w:val="24"/>
        </w:rPr>
        <w:t xml:space="preserve">rectitudinea acestor dezlegări </w:t>
      </w:r>
      <w:r w:rsidRPr="00250C7F">
        <w:rPr>
          <w:rFonts w:ascii="Times New Roman" w:hAnsi="Times New Roman" w:cs="Times New Roman"/>
          <w:bCs/>
          <w:sz w:val="24"/>
          <w:szCs w:val="24"/>
        </w:rPr>
        <w:t>nu reprezintă critici de nelegalitate, spre a constitui suportul unei analize în cadrul recursului pendinte.</w:t>
      </w:r>
    </w:p>
    <w:p w14:paraId="2391F781" w14:textId="5BFB0125"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În ce priveşte aprecierea instanței de apel în sensul că pârâta intimată nu a utilizat numele comercial B. cu funcție specifică mărcii, se constată că aceasta este rezultatul evaluării probelor pe care părțile le-au administrat relativ la această chestiune de fapt: folosința. </w:t>
      </w:r>
    </w:p>
    <w:p w14:paraId="31D0E728"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Argumentele critice expuse de recurentă cu privire la această apreciere relevă similitudini între numele comercial al intimatei și mărcile Viarom și existența unui risc de asociere ori de confuzie între acestea. Asemenea argumente nu au, însă, relevanță din  perspectiva condiției analizate, pentru că ele</w:t>
      </w:r>
      <w:r w:rsidRPr="00250C7F">
        <w:rPr>
          <w:rFonts w:ascii="Times New Roman" w:hAnsi="Times New Roman" w:cs="Times New Roman"/>
          <w:sz w:val="24"/>
          <w:szCs w:val="24"/>
        </w:rPr>
        <w:t xml:space="preserve"> </w:t>
      </w:r>
      <w:r w:rsidRPr="00250C7F">
        <w:rPr>
          <w:rFonts w:ascii="Times New Roman" w:hAnsi="Times New Roman" w:cs="Times New Roman"/>
          <w:bCs/>
          <w:sz w:val="24"/>
          <w:szCs w:val="24"/>
        </w:rPr>
        <w:t>nu evidențiază o anumită  modalitate practică în care numele comercial a fost utilizat, ci evidențiază doar conținutul/structura numelui comercial înregistrat (care se bucură de protecție legală, așa cum s-a arătat anterior). Simpla înregistrare a numelui comercial având asemenea elemente de similitudine cu marca nu poate demonstra utilizarea acestuia cu funcție de identificare a serviciilor sau produselor oferite de titular, ţinând seama de faptul că legea - prin prevederile art. 39 din Legea 84/1998 - nu permite titularului unei mărci să  se opună folosirii unui nume comercial decât în anumite condiții de excepție. Cum recurenta a invocat, în speță, una dintre aceste condiții – anume folosirea numelui comercial în mod contrar bunelor practici din domeniul comercial, incluzându-se în această sferă și utilizarea lui pentru a distinge produsele ori serviciile oferite –, instanța, dând eficienţa cuvenită principiului disponibilităţii, ar fi putut dispune măsura interzicerii folosirii numelui comercial numai în măsura în care ar fi constatat (pe baza probatoriului administrat) că pârâta, distinct de actul juridic al înregistrării numelui comercial B., ar fi săvârșit acte de folosință a acestui nume care să fi fost neconforme bunelor practici în domeniul comercial sau industrial.</w:t>
      </w:r>
    </w:p>
    <w:p w14:paraId="3640B476"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Or, în măsura în care s-a reținut că ,,nu s-a făcut dovada folosirii de către pârâtă a numelui comercial cu rol de marcă”, Înalta Curte constată că fără temei se reproșează instanței de apel că ar fi dat o eronată dezlegare cauzei din perspectiva celei de-a patra cerințe derivate din cauza Celine, anume cerinţa ca utilizarea numelui comercial să fi fost făcută cu funcția de a distinge serviciile ori produsele oferite de aceasta de cele ale altor comercianți.</w:t>
      </w:r>
    </w:p>
    <w:p w14:paraId="6B57DEEB"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Prin prisma considerentelor de mai sus, trebuie amintit că aprecierea/constatarea făcută de instanța de apel în sensul existenței unui potențial risc de confuzie sau de asociere determinat de domeniul specific în care ambele părți își desfășoară activitatea și de prezența elementului verbal Viarom în structura semnelor aflate în conflict, nu putea fundamenta o concluzie în sensul că îndeplinită şi cerința privind existenţa unor acte de folosinţă a numelui comercial cu rol de marcă. Similitudinea ori identitatea între semnele aflate în conflict constituie aspecte care se circumscriu unei condiții distincte (cea de-a treia) reliefate de aceeași hotărâre pronunțată în cauza Celine, iar constatarea instanței de apel referitoare la existența unui potențial risc de confuzie se regăsește tocmai în contextul  evaluării acestei a treia condiții. Astfel, analiza privind cea de-a patra cerinţă (referitoare la modul concret de folosire) este una distinctă, neconstituind o consecinţă directă şi necesară a confirmării celei de-a treia condiţii (privind stabilirea similitudinii între semne şi a potenţialului risc de confuzie generat de asemenea similitudine).  </w:t>
      </w:r>
    </w:p>
    <w:p w14:paraId="250FC539"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Împrejurarea – evocată de recurentă - că numele comercial are funcția de raliere a clientelei, și că aceeași funcție o are și marca, relevă - în condițiile în care fiecare dintre cele două categorii juridice are beneficiul unei protecții legale – un reper de evaluare a caracterului legitim al utilizării dreptului (de proprietate industrială) derivat din înregistrarea numelui comercial, </w:t>
      </w:r>
      <w:r w:rsidRPr="00250C7F">
        <w:rPr>
          <w:rFonts w:ascii="Times New Roman" w:hAnsi="Times New Roman" w:cs="Times New Roman"/>
          <w:bCs/>
          <w:sz w:val="24"/>
          <w:szCs w:val="24"/>
        </w:rPr>
        <w:lastRenderedPageBreak/>
        <w:t xml:space="preserve">respectiv a conformităţii acestei utilizări cu bunele practici comerciale. Atâta vreme cât este vorba de un rol care este specific deținerii drepturilor derivate din înregistrarea numelui comercial, nu se poate reține că simpla deținere, de către pârâta intimată, a calității de titular al numelui comercial ar constitui o faptă ilicită, neconformă bunelor practici comerciale. </w:t>
      </w:r>
    </w:p>
    <w:p w14:paraId="690DEC41"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Evocând o funcție comună celor două categorii de semne și pretinzând ca, prin prisma acestei funcții, să se stabilească preferabilitatea dreptului propriu conferit de deținerea mărcilor, recurenta ignoră cadrul normativ existent, anume acela în care legea nu conferă prevalență drepturilor generate de una sau alta dintre aceste categorii. În plus, funcția/rolul comun(ă) de raliere a clientelei este distinctă de funcția specifică (numai) mărcii </w:t>
      </w:r>
      <w:r w:rsidRPr="00250C7F">
        <w:rPr>
          <w:rFonts w:ascii="Times New Roman" w:hAnsi="Times New Roman" w:cs="Times New Roman"/>
          <w:bCs/>
          <w:i/>
          <w:iCs/>
          <w:sz w:val="24"/>
          <w:szCs w:val="24"/>
        </w:rPr>
        <w:t xml:space="preserve">de a distinge produsele sau serviciile </w:t>
      </w:r>
      <w:r w:rsidRPr="00250C7F">
        <w:rPr>
          <w:rFonts w:ascii="Times New Roman" w:hAnsi="Times New Roman" w:cs="Times New Roman"/>
          <w:bCs/>
          <w:sz w:val="24"/>
          <w:szCs w:val="24"/>
        </w:rPr>
        <w:t>care provin de la un comerciant de cele ale altor comercianți. Funcția de a distinge produsele ori serviciile, relevantă din perspectiva statuărilor din cauza Celine, nu poate fi atribuită modalității în care pârâta intimată și-a utilizat denumirea doar ca o consecință a faptului că numele comercial are rolul de raliere a clientelei, pentru că acest rol se manifestă</w:t>
      </w:r>
      <w:r w:rsidRPr="00250C7F">
        <w:rPr>
          <w:rFonts w:ascii="Times New Roman" w:hAnsi="Times New Roman" w:cs="Times New Roman"/>
          <w:sz w:val="24"/>
          <w:szCs w:val="24"/>
        </w:rPr>
        <w:t xml:space="preserve"> </w:t>
      </w:r>
      <w:r w:rsidRPr="00250C7F">
        <w:rPr>
          <w:rFonts w:ascii="Times New Roman" w:hAnsi="Times New Roman" w:cs="Times New Roman"/>
          <w:bCs/>
          <w:sz w:val="24"/>
          <w:szCs w:val="24"/>
        </w:rPr>
        <w:t xml:space="preserve">în cazul numelui comercial prin aceea că este un instrument de </w:t>
      </w:r>
      <w:r w:rsidRPr="00250C7F">
        <w:rPr>
          <w:rFonts w:ascii="Times New Roman" w:hAnsi="Times New Roman" w:cs="Times New Roman"/>
          <w:bCs/>
          <w:i/>
          <w:iCs/>
          <w:sz w:val="24"/>
          <w:szCs w:val="24"/>
        </w:rPr>
        <w:t>identificare directă</w:t>
      </w:r>
      <w:r w:rsidRPr="00250C7F">
        <w:rPr>
          <w:rFonts w:ascii="Times New Roman" w:hAnsi="Times New Roman" w:cs="Times New Roman"/>
          <w:bCs/>
          <w:sz w:val="24"/>
          <w:szCs w:val="24"/>
        </w:rPr>
        <w:t xml:space="preserve"> a comerciantului în relațiile cu clienții și partenerii de afaceri, spre deosebire de marcă în cazul căreia identificarea titularului se face indirect, prin intermediul produselor ori serviciilor pe care un asemenea semn se aplică.</w:t>
      </w:r>
    </w:p>
    <w:p w14:paraId="562D5D91" w14:textId="77777777" w:rsidR="00EA153E" w:rsidRPr="00250C7F" w:rsidRDefault="00EA153E" w:rsidP="00EA153E">
      <w:pPr>
        <w:spacing w:line="276" w:lineRule="auto"/>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b/>
        <w:t xml:space="preserve">A mai invocat recurenta neobservarea de către instanța de apel a statuărilor făcute de CJUE în cauza Robeco Groep NV, afirmând că din perspectiva respectivelor statuări nu ar trebui demonstrat </w:t>
      </w:r>
      <w:r w:rsidRPr="00250C7F">
        <w:rPr>
          <w:rFonts w:ascii="Times New Roman" w:hAnsi="Times New Roman" w:cs="Times New Roman"/>
          <w:bCs/>
          <w:i/>
          <w:sz w:val="24"/>
          <w:szCs w:val="24"/>
        </w:rPr>
        <w:t>per se</w:t>
      </w:r>
      <w:r w:rsidRPr="00250C7F">
        <w:rPr>
          <w:rFonts w:ascii="Times New Roman" w:hAnsi="Times New Roman" w:cs="Times New Roman"/>
          <w:bCs/>
          <w:sz w:val="24"/>
          <w:szCs w:val="24"/>
        </w:rPr>
        <w:t xml:space="preserve"> faptul că numele comercial B. este folosit pentru a distinge produsele sau serviciile, fiind suficient – pentru a se stabili încălcarea dreptului asupra mărcii - că acesta este folosit pentru propria identificare între alți comercianți. </w:t>
      </w:r>
    </w:p>
    <w:p w14:paraId="256B695B"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Opinia critică astfel expusă de recurentă este consecința unei lecturi trunchiate a textului hotărârii astfel invocate, paragraful nr. 34 la care recurenta se raportează având următorul conținut: ,,</w:t>
      </w:r>
      <w:r w:rsidRPr="00250C7F">
        <w:rPr>
          <w:rFonts w:ascii="Times New Roman" w:hAnsi="Times New Roman" w:cs="Times New Roman"/>
          <w:bCs/>
          <w:i/>
          <w:iCs/>
          <w:sz w:val="24"/>
          <w:szCs w:val="24"/>
        </w:rPr>
        <w:t>Prin urmare, atunci când, la fel ca în acțiunea principală, semnul nu este utilizat în scopul diferențierii bunurilor sau serviciilor, este necesar să se facă trimitere la ordinile juridice ale statelor membre pentru a determina domeniul de aplicare și, după caz, conținutul a protecției acordate deținătorilor de mărci comerciale care pretind a suferi daune rezultate din utilizarea acestui semn ca nume comercial sau denumire companie</w:t>
      </w:r>
      <w:r w:rsidRPr="00250C7F">
        <w:rPr>
          <w:rFonts w:ascii="Times New Roman" w:hAnsi="Times New Roman" w:cs="Times New Roman"/>
          <w:bCs/>
          <w:sz w:val="24"/>
          <w:szCs w:val="24"/>
        </w:rPr>
        <w:t xml:space="preserve">”. </w:t>
      </w:r>
    </w:p>
    <w:p w14:paraId="24B58E32"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Este de domeniul evidenței că menționatele statuări ale CJUE nu constituie o dezlegare în sensul că deținerea unui nume comercial similar unei mărci ar valora, prin ea însăşi, utilizare a celui dintâi cu funcția de a distinge produsele sau serviciile titularului. Însăși ipoteza raționamentului expus în paragraful anterior enunţat este elocventă în acest sens, anume aceea în care,,semnul nu este utilizat în scopul diferențierii bunurilor sau serviciilor”, fiind deci vorba de o utilizare care nu se suprapune funcţiei esenţiale a mărcii ce se analizează din perspectiva celei de-a patra condiţii care se degajă din hotărârea pronunţată în cauza Celine (şi care este relevantă în contextul litigiului de faţă). De altfel, trebuie notat că analiza ce s-a realizat în menționata cauză a fost circumscrisă necesității unui răspuns la întrebări care priveau existența sau nu a posibilității statelor membre, din perspectiva reglementărilor conținute în art. 5 alin. 5 din Directiva 89/104/CEE (echivalente celor din art. 5 alin. 5 al Directivei 2008/95/CE), de a adopta reglementări naţionale prin care să </w:t>
      </w:r>
      <w:r w:rsidRPr="00250C7F">
        <w:rPr>
          <w:rFonts w:ascii="Times New Roman" w:hAnsi="Times New Roman" w:cs="Times New Roman"/>
          <w:bCs/>
          <w:i/>
          <w:iCs/>
          <w:sz w:val="24"/>
          <w:szCs w:val="24"/>
        </w:rPr>
        <w:t>protejeze o marcă împotriva utilizării unui semn, care este realizată în alte scopuri decât acela de a distinge bunuri sau servicii,</w:t>
      </w:r>
      <w:r w:rsidRPr="00250C7F">
        <w:rPr>
          <w:rFonts w:ascii="Times New Roman" w:hAnsi="Times New Roman" w:cs="Times New Roman"/>
          <w:bCs/>
          <w:sz w:val="24"/>
          <w:szCs w:val="24"/>
        </w:rPr>
        <w:t xml:space="preserve"> atunci când utilizarea acestui semn profită fără motive întemeiate și în mod nedrept de caracterul distinctiv sau de reputația mărcii, sau le dăunează.</w:t>
      </w:r>
    </w:p>
    <w:p w14:paraId="641CC83D"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lastRenderedPageBreak/>
        <w:t>Prin urmare, nici considerentele hotărârii adoptate în cauza Robeco Groep NV și nici răspunsul dat de CJUE întrebărilor care au prilejuit pronunțarea respectivei hotărâri nu pot fundamenta concluzia propusă de recurentă, anume că decizia instanței de apel ar fi afectată de viciul nelegalităţii prin aceea că a analizat distinct cerinţa privind similitudinea semnelor (mărcile reclamantei si numele comercial al pârâtei) şi cerinţa privind utilizarea numelui comercial cu funcţie specifică mărcii (pentru indicarea originii serviciilor şi produselor pârâtei).</w:t>
      </w:r>
    </w:p>
    <w:p w14:paraId="3F3AAF37" w14:textId="77777777" w:rsidR="00EA153E" w:rsidRPr="00250C7F" w:rsidRDefault="00EA153E" w:rsidP="00EA153E">
      <w:pPr>
        <w:spacing w:line="276" w:lineRule="auto"/>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b/>
        <w:t>Cât privește reperul de ,,bune practici în domeniul industrial ori comercial”, este corectă observația recurentei că acesta nu are o definiție legală.</w:t>
      </w:r>
    </w:p>
    <w:p w14:paraId="4960AFC4"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În absența unei astfel definiții, judecătorul cauzei avea îndatorirea de a evalua conduita concretă a pârâtei prin prisma celorlalte izvoare de drept prevăzute de art. 1 din C.civ., anume: dispozițiile legale privitoare la situații asemănătoare, uzanțele și principiile generale ale dreptului. </w:t>
      </w:r>
    </w:p>
    <w:p w14:paraId="1D43C36E" w14:textId="77777777" w:rsidR="00EA153E" w:rsidRPr="00250C7F" w:rsidRDefault="00EA153E" w:rsidP="00EA153E">
      <w:pPr>
        <w:spacing w:line="276" w:lineRule="auto"/>
        <w:ind w:firstLine="708"/>
        <w:contextualSpacing/>
        <w:jc w:val="both"/>
        <w:rPr>
          <w:rFonts w:ascii="Times New Roman" w:hAnsi="Times New Roman" w:cs="Times New Roman"/>
          <w:bCs/>
          <w:i/>
          <w:iCs/>
          <w:sz w:val="24"/>
          <w:szCs w:val="24"/>
        </w:rPr>
      </w:pPr>
      <w:r w:rsidRPr="00250C7F">
        <w:rPr>
          <w:rFonts w:ascii="Times New Roman" w:hAnsi="Times New Roman" w:cs="Times New Roman"/>
          <w:bCs/>
          <w:sz w:val="24"/>
          <w:szCs w:val="24"/>
        </w:rPr>
        <w:t>Este util a fi precizat că prin art. 14 din C.civ este instituită o regulă fundamentală de interpretare a legii civile, anume aceea privitoare la buna credință: ,,</w:t>
      </w:r>
      <w:r w:rsidRPr="00250C7F">
        <w:rPr>
          <w:rFonts w:ascii="Times New Roman" w:hAnsi="Times New Roman" w:cs="Times New Roman"/>
          <w:sz w:val="24"/>
          <w:szCs w:val="24"/>
        </w:rPr>
        <w:t xml:space="preserve"> </w:t>
      </w:r>
      <w:r w:rsidRPr="00250C7F">
        <w:rPr>
          <w:rFonts w:ascii="Times New Roman" w:hAnsi="Times New Roman" w:cs="Times New Roman"/>
          <w:bCs/>
          <w:sz w:val="24"/>
          <w:szCs w:val="24"/>
        </w:rPr>
        <w:t>(</w:t>
      </w:r>
      <w:r w:rsidRPr="00250C7F">
        <w:rPr>
          <w:rFonts w:ascii="Times New Roman" w:hAnsi="Times New Roman" w:cs="Times New Roman"/>
          <w:bCs/>
          <w:i/>
          <w:iCs/>
          <w:sz w:val="24"/>
          <w:szCs w:val="24"/>
        </w:rPr>
        <w:t xml:space="preserve">1) Orice persoană fizică sau persoană juridică trebuie să își exercite drepturile și să își execute obligațiile civile cu bună-credință, în acord cu ordinea publică și bunele moravuri. </w:t>
      </w:r>
    </w:p>
    <w:p w14:paraId="4BAD028A"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i/>
          <w:iCs/>
          <w:sz w:val="24"/>
          <w:szCs w:val="24"/>
        </w:rPr>
        <w:t>(2) Buna-credință se prezumă până la proba contrară</w:t>
      </w:r>
      <w:r w:rsidRPr="00250C7F">
        <w:rPr>
          <w:rFonts w:ascii="Times New Roman" w:hAnsi="Times New Roman" w:cs="Times New Roman"/>
          <w:bCs/>
          <w:sz w:val="24"/>
          <w:szCs w:val="24"/>
        </w:rPr>
        <w:t xml:space="preserve">”. </w:t>
      </w:r>
    </w:p>
    <w:p w14:paraId="47474F16"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Analiza realizată de instanța de apel relevă corecta aplicare a menţionatelor reglementări de principiu, dat fiind faptul că evaluarea conduitei pârâtei intimate a fost realizată prin raportare: la statutul acesteia de societate comercială înregistrată la Oficiul Registrului Comerțului, la obiectul său de activitate și ținând seama de prezumția de bună credință de care trebuie să beneficieze (ca orice subiect de drept) până la răsturnarea ei prin proba contrară. </w:t>
      </w:r>
    </w:p>
    <w:p w14:paraId="15B1C880"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Prevederile Legii 11/1991 privind combaterea concurenței neloiale nu puteau fundamenta </w:t>
      </w:r>
      <w:r w:rsidRPr="00250C7F">
        <w:rPr>
          <w:rFonts w:ascii="Times New Roman" w:hAnsi="Times New Roman" w:cs="Times New Roman"/>
          <w:bCs/>
          <w:i/>
          <w:iCs/>
          <w:sz w:val="24"/>
          <w:szCs w:val="24"/>
        </w:rPr>
        <w:t>prin ele însele</w:t>
      </w:r>
      <w:r w:rsidRPr="00250C7F">
        <w:rPr>
          <w:rFonts w:ascii="Times New Roman" w:hAnsi="Times New Roman" w:cs="Times New Roman"/>
          <w:bCs/>
          <w:sz w:val="24"/>
          <w:szCs w:val="24"/>
        </w:rPr>
        <w:t xml:space="preserve"> o constatare în sensul că pârâta intimată a manifestat o conduită neconformă criteriului bunelor practici în domeniul industrial ori comercial, cum fără temei afirmă recurenta. Obligația instituită prin lege de a exercita activitatea cu bună credință, potrivit uzanțelor  cinstite, cu respectarea intereselor consumatorilor și a cerințelor concurenței loiale (conform art. 1 al acestui act normativ) reprezintă o cerinţă/reglementare cu caracter abstract relativă la activitatea persoanelor ce au statut de comerciant, iar respectarea ei este prezumată atâta vreme cât nu se dovedește contrariul. Or, în speță, tocmai acest fapt s-a reținut: că reclamanta recurentă nu dovedit acuzația adusă pârâtei în sensul că și-ar fi folosit numele comercial funcția de element de identificare a originii serviciilor prestate (o asemenea funcție nefiind specifică categoriei juridice de nume comercial).</w:t>
      </w:r>
    </w:p>
    <w:p w14:paraId="3381E0F3" w14:textId="61AB772B"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Aspectele evocate de recurentă cu privire la împrejurarea că pârâta a recunoscut – prin întâmpinare – că denumirea actuală nu a fost prima opțiune la înregistrarea societății comerciale au fost analizate de instanța de apel (prin considerentele care se regăsesc la paginile 17-18 ale hotărârii). Cum recurenta nu relevă vreun aspect de nelegalitate a evaluării realizate în cadrul acestei analize – limitându-se la a reitera aceleaşi aspecte de fapt – Înalta Curte constată nu există, din această perspectivă, suportul necesar realizării unui control judiciar de nelegalitate a deciziei recurate. </w:t>
      </w:r>
    </w:p>
    <w:p w14:paraId="189F938F"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Se mai reproșează instanței de apel că  nu a avut în vedere toate considerentele hotărârii pronunțate de CJUE în cauza Celine, respectiv că s-ar fi raportat doar la anumite considerente care ,,favorizau” raționamentul său.  În acest context, recurenta a evocat considerente care s-ar regăsi în paragrafele 50, 54 și 55 din respectiva hotărâre.</w:t>
      </w:r>
    </w:p>
    <w:p w14:paraId="3CECA127"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lastRenderedPageBreak/>
        <w:t>În acest punct al analizei este util a fi subliniat faptul că judecata în etapa apelului este supusă unor limite ale devoluțiunii, instanța de prin control judiciar fiind ținută să analizeze pricina numai prin prisma criticilor care s-au adus hotărârii primei instanțe (conform art. 477 alin. 1 din C.pr.civ.)  și ţinând seama de aspectele care au format obiect al învestirii primei instanțe (conform art. 478 alin. 1 C.pr.civ).</w:t>
      </w:r>
    </w:p>
    <w:p w14:paraId="5CEF2497"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Înalta Curte constată că, din perspectiva acestor limite ale devoluțiunii, instanța de apel a efectuat controlul judiciar corespunzător criticilor pe care recurenta le formulase prin cererea de apel. </w:t>
      </w:r>
      <w:r w:rsidRPr="00250C7F">
        <w:rPr>
          <w:rFonts w:ascii="Times New Roman" w:hAnsi="Times New Roman" w:cs="Times New Roman"/>
          <w:bCs/>
          <w:iCs/>
          <w:sz w:val="24"/>
          <w:szCs w:val="24"/>
        </w:rPr>
        <w:t>În acest context analitic, se constată că acele dezlegări din conținutul hotărârii Celine ce au fost evidenţiate şi aplicate de</w:t>
      </w:r>
      <w:r w:rsidRPr="00250C7F">
        <w:rPr>
          <w:rFonts w:ascii="Times New Roman" w:hAnsi="Times New Roman" w:cs="Times New Roman"/>
          <w:bCs/>
          <w:sz w:val="24"/>
          <w:szCs w:val="24"/>
        </w:rPr>
        <w:t xml:space="preserve"> instanţa de prim control judiciar sunt relevante cauzei prin prisma situaţiei de fapt stabilite ca urmare a evaluării probelor, fiind lipsit de fundament reproşul potrivit căruia instanţa ar fi optat pentru respectivele dezlegări în mod artificial (în exprimarea recurentei: pentru ca ar fi „favorabile” soluţiei adoptate). </w:t>
      </w:r>
    </w:p>
    <w:p w14:paraId="5D5BA360"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Pe de altă parte, se constată că hotărârea  CJUE pronunțată în cauza Celine nu conține paragrafele evocate ca având conţinutul redat şi numerotarea atribuită de recurentă (nr. 50, 54 și 55), relativ la care partea susține că ar fi fost necesar să fie avute în vedere de instanța de apel. De aceea, textele evocate de parte nu pot constitui reper al evaluării legalităţii deciziei supuse controlului judiciar.</w:t>
      </w:r>
    </w:p>
    <w:p w14:paraId="1F9770A5" w14:textId="77777777" w:rsidR="00EA153E" w:rsidRPr="00250C7F" w:rsidRDefault="00EA153E" w:rsidP="00EA153E">
      <w:pPr>
        <w:spacing w:line="276" w:lineRule="auto"/>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b/>
        <w:t>Cu privire la exigenţa utilizării „conform practicilor loiale în domeniul industrial sau comercial",  Înalta Curte apreciază că relevante sunt elementele de interpretare furnizate de instanța europeană în cadrul paragrafului nr nr.34 din hotărârea Celine, anume:,,</w:t>
      </w:r>
      <w:r w:rsidRPr="00250C7F">
        <w:rPr>
          <w:rFonts w:ascii="Times New Roman" w:hAnsi="Times New Roman" w:cs="Times New Roman"/>
          <w:bCs/>
          <w:i/>
          <w:iCs/>
          <w:sz w:val="24"/>
          <w:szCs w:val="24"/>
        </w:rPr>
        <w:t>În această privinţă, trebuie amintit că îndeplinirea condiţiei menţionate, de utilizare loială, trebuie apreciată ţinând cont de măsura în care, pe de o parte, utilizarea numelui său de către terţ este înţeleasă de publicul vizat sau cel puţin de o parte semnificativă a acestui public ca indicând o legătură între produsele sau serviciile terţului şi titularul mărcii sau o persoană autorizată să utilizeze marca şi, pe de altă parte, de măsura în care terţul ar fi trebuit să fie conştient de acest fapt. Constituie totodată un factor care trebuie luat în considerare în cadrul acestei aprecieri împrejurarea că este vorba despre o marcă având un anumit renume în statul membru în care este înregistrată sau în care se solicită protecţia acesteia, renume de care terţul ar putea profita pentru comercializarea produselor sau a serviciilor sale (Hotărârea Anheuser-Busch, citată anterior, punctul 83</w:t>
      </w:r>
      <w:r w:rsidRPr="00250C7F">
        <w:rPr>
          <w:rFonts w:ascii="Times New Roman" w:hAnsi="Times New Roman" w:cs="Times New Roman"/>
          <w:bCs/>
          <w:sz w:val="24"/>
          <w:szCs w:val="24"/>
        </w:rPr>
        <w:t>)</w:t>
      </w:r>
    </w:p>
    <w:p w14:paraId="0FC92A75"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i/>
          <w:iCs/>
          <w:sz w:val="24"/>
          <w:szCs w:val="24"/>
        </w:rPr>
        <w:t>Revine instanţei de trimitere să efectueze o evaluare globală a tuturor împrejurărilor pertinente ale cauzei din acţiunea principală pentru a aprecia, mai precis, dacă se poate considera că Céline Sàrl practică o concurenţă neloială faţă de Céline SA (a se vedea în acest sens Hotărârea Anheuser-Busch, citată anterior, punctul 84</w:t>
      </w:r>
      <w:r w:rsidRPr="00250C7F">
        <w:rPr>
          <w:rFonts w:ascii="Times New Roman" w:hAnsi="Times New Roman" w:cs="Times New Roman"/>
          <w:bCs/>
          <w:sz w:val="24"/>
          <w:szCs w:val="24"/>
        </w:rPr>
        <w:t>).”.</w:t>
      </w:r>
    </w:p>
    <w:p w14:paraId="336E8D0B" w14:textId="77777777" w:rsidR="00EA153E" w:rsidRPr="00250C7F" w:rsidRDefault="00EA153E" w:rsidP="00EA153E">
      <w:pPr>
        <w:spacing w:line="276" w:lineRule="auto"/>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b/>
        <w:t xml:space="preserve">Reiese cu evidență din aceste statuări că este necesar ca instanța de judecată ce este învestită cu soluționare unui litigiu concret să realizeze o evaluare a împrejurărilor de fapt ale cauzei, împrejurări care pot și trebuie să fie stabilite în urma analizei cererilor și apărărilor formulate de părți precum și a probelor pe care acestea și-au sprijinit poziția adoptată în cadrul procesului. </w:t>
      </w:r>
    </w:p>
    <w:p w14:paraId="33259DDD"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Or, decizia recurată respectă întrutotul aceste rigori câtă vreme conține o analiză relativă la conduita pe care reclamanta recurentă a imputat-o pârâtei intimate, prin prisma probelor administrate și a reglementărilor speciale din materia drepturilor de proprietate industrială care instituie limite ale protecției conferite categoriilor juridice de marcă și de nume comercial.</w:t>
      </w:r>
    </w:p>
    <w:p w14:paraId="4525E9F9" w14:textId="0A0791B4"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lastRenderedPageBreak/>
        <w:t xml:space="preserve">2. Prin cel de-al doilea motiv de recurs – care se circumscrie cazului de casare reglementat prin art. 488 pct. 8 din C.pr.civ. -  se reproșează instanței de apel că a aplicat greșit prevederile art. 30 alin. 4 coroborat cu art. 38  din Legea 26/1990, respectiv prevederile art. 29 alin. 4 lit. i) din Normele Metodologice aprobate prin Ordinul Ministrului Justiției nr. 2594/2008. </w:t>
      </w:r>
    </w:p>
    <w:p w14:paraId="5A8DC242"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În susținerea acestei critici recurenta afirmă că  este eronată aprecierea instanței de apel în sensul că particula ING din structura numelui comercial al pârâtei conferă distinctivitate acestui nume, precizând că prevederile art. 29 alin. 4 lit. i) din Normele Metodologice stabilesc că acest cuvânt nu reprezintă un element de distinctivitate.</w:t>
      </w:r>
    </w:p>
    <w:p w14:paraId="0B623ECA"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Verificând conținutului acestei din urmă reglementări la care recurenta se raportează, Înalta Curte constată că el nu include particula ,,ING” printre cuvintele pe care legiuitorul le-a declarat în mod expres ca fiind lipsite de distinctivitate. În enumerarea ce se regăsește în norma juridică se identifică doar următoarele cuvinte: grup, holding, company, trust, com, trans.</w:t>
      </w:r>
    </w:p>
    <w:p w14:paraId="530F7292"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Prin urmare, se constată caracterul vădit nefondat al susținerii recurentei în sensul că instanța de apel ar fi apreciat că particula ING conferă distinctivitate numelui comercial al pârâtei intimate prin ignorarea unei calificări normativă care ar fi în sensul contrar. </w:t>
      </w:r>
    </w:p>
    <w:p w14:paraId="12AB24CE"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Înalta Curte notează că instanța de apel a procedat la analiza elementelor verbale care compun numele comercial al societății pârâte, analiză în urma căreia a concluzionat că asocierea celor două cuvinte este de natură a oferi distinctivitate, </w:t>
      </w:r>
      <w:r w:rsidRPr="00250C7F">
        <w:rPr>
          <w:rFonts w:ascii="Times New Roman" w:hAnsi="Times New Roman" w:cs="Times New Roman"/>
          <w:bCs/>
          <w:iCs/>
          <w:sz w:val="24"/>
          <w:szCs w:val="24"/>
        </w:rPr>
        <w:t>prin comparare cu numele comercial al reclamantei recurente</w:t>
      </w:r>
      <w:r w:rsidRPr="00250C7F">
        <w:rPr>
          <w:rFonts w:ascii="Times New Roman" w:hAnsi="Times New Roman" w:cs="Times New Roman"/>
          <w:bCs/>
          <w:sz w:val="24"/>
          <w:szCs w:val="24"/>
        </w:rPr>
        <w:t xml:space="preserve"> care este format din asocierea cuvântului Viarom cu particula ,,,Construct”. Nu contravine prevederilor art. 30 alin. 4 și art. 38 din Legea 26/1990 coroborat cu art. 29 alin. 4 lit. i) din Normele Metodologice aprecierea în sensul menționat câtă vreme elementele verbale care deosebesc numele comerciale ale societăților comerciale aflate în litigiu (anume ING și Construct) nu au același înțeles, nu sunt declarate prin reglementări normative ca fiind elemente lipsite de aptitudinea de a conferi distinctivitate unei firme, iar cuvântul ING nu este sugestiv, necesar ori generic (definitoriu) pentru activitatea în construcții.  </w:t>
      </w:r>
    </w:p>
    <w:p w14:paraId="4AAFBD8A"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Mai susține recurenta că folosirea de către intimată a numelui comercial încalcă dreptul ce îi este conferit, prin art. 1 alin. 2 din Convenția de la Paris, asupra propriului nume comercial. Cum această susținere se limitează la un simplu enunț, neconținând vreo critică de nelegalitate la adresa evaluării realizate de instanța de apel relativ la această chestiune, Înalta Curte constată că nu poate constitui suportul necesar efectuării unui control de nelegalitate în sensul exigențelor art. 488 din C.pr.civ.</w:t>
      </w:r>
    </w:p>
    <w:p w14:paraId="530734A4"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Având în vedere considerentele expuse, Înalta Curte constată nefondat și acest motiv de recurs.</w:t>
      </w:r>
    </w:p>
    <w:p w14:paraId="567B6BCA"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3. Prin cel de-al treilea motiv de recurs se susține că hotărârea instanței de apel a fost dată cu încălcarea prevederilor art. 478 alin. 3 raportat la art. 452 și 453 din C.pr.civ., prin aceea că instanța de apel a dispus obligarea sa și la plata cheltuielilor de judecată ce au fost efectuate în primă instanță, deși partea pârâtă precizase în etapa judecății fondului că va solicita asemenea cheltuieli pe cale separată.</w:t>
      </w:r>
    </w:p>
    <w:p w14:paraId="57E31A05"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Aceste critici – subsumate motivului de casare reglementat prin art. 488 alin. 1 pct. 5 din C.pr.civ. – sunt apreciate de Înalta Curte ca nefondate în raport de considerentele următoare:</w:t>
      </w:r>
    </w:p>
    <w:p w14:paraId="3E6A1266" w14:textId="77777777" w:rsidR="00EA153E" w:rsidRPr="00250C7F" w:rsidRDefault="00EA153E" w:rsidP="005C2149">
      <w:pPr>
        <w:spacing w:line="276" w:lineRule="auto"/>
        <w:ind w:left="708"/>
        <w:contextualSpacing/>
        <w:jc w:val="both"/>
        <w:rPr>
          <w:rFonts w:ascii="Times New Roman" w:hAnsi="Times New Roman" w:cs="Times New Roman"/>
          <w:bCs/>
          <w:i/>
          <w:iCs/>
          <w:sz w:val="24"/>
          <w:szCs w:val="24"/>
        </w:rPr>
      </w:pPr>
      <w:r w:rsidRPr="00250C7F">
        <w:rPr>
          <w:rFonts w:ascii="Times New Roman" w:hAnsi="Times New Roman" w:cs="Times New Roman"/>
          <w:bCs/>
          <w:sz w:val="24"/>
          <w:szCs w:val="24"/>
        </w:rPr>
        <w:t>Prin art. 478 din C.pr.civ. sunt stabilite limite ale efectului devolutiv al apelului astfel: ,,</w:t>
      </w:r>
      <w:r w:rsidRPr="00250C7F">
        <w:rPr>
          <w:rFonts w:ascii="Times New Roman" w:hAnsi="Times New Roman" w:cs="Times New Roman"/>
          <w:sz w:val="24"/>
          <w:szCs w:val="24"/>
        </w:rPr>
        <w:t xml:space="preserve"> </w:t>
      </w:r>
      <w:r w:rsidRPr="00250C7F">
        <w:rPr>
          <w:rFonts w:ascii="Times New Roman" w:hAnsi="Times New Roman" w:cs="Times New Roman"/>
          <w:bCs/>
          <w:i/>
          <w:iCs/>
          <w:sz w:val="24"/>
          <w:szCs w:val="24"/>
        </w:rPr>
        <w:t>1) Prin apel nu se poate schimba cadrul procesual stabilit în fața primei instanțe.</w:t>
      </w:r>
    </w:p>
    <w:p w14:paraId="0650B211" w14:textId="77777777" w:rsidR="00EA153E" w:rsidRPr="00250C7F" w:rsidRDefault="00EA153E" w:rsidP="00EA153E">
      <w:pPr>
        <w:spacing w:line="276" w:lineRule="auto"/>
        <w:ind w:firstLine="708"/>
        <w:contextualSpacing/>
        <w:jc w:val="both"/>
        <w:rPr>
          <w:rFonts w:ascii="Times New Roman" w:hAnsi="Times New Roman" w:cs="Times New Roman"/>
          <w:bCs/>
          <w:i/>
          <w:iCs/>
          <w:sz w:val="24"/>
          <w:szCs w:val="24"/>
        </w:rPr>
      </w:pPr>
      <w:r w:rsidRPr="00250C7F">
        <w:rPr>
          <w:rFonts w:ascii="Times New Roman" w:hAnsi="Times New Roman" w:cs="Times New Roman"/>
          <w:bCs/>
          <w:i/>
          <w:iCs/>
          <w:sz w:val="24"/>
          <w:szCs w:val="24"/>
        </w:rPr>
        <w:t xml:space="preserve">(2) Părțile nu se vor putea folosi înaintea instanței de apel de alte motive, mijloace de apărare și dovezi decât cele invocate la prima instanță sau arătate în motivarea apelului ori în </w:t>
      </w:r>
      <w:r w:rsidRPr="00250C7F">
        <w:rPr>
          <w:rFonts w:ascii="Times New Roman" w:hAnsi="Times New Roman" w:cs="Times New Roman"/>
          <w:bCs/>
          <w:i/>
          <w:iCs/>
          <w:sz w:val="24"/>
          <w:szCs w:val="24"/>
        </w:rPr>
        <w:lastRenderedPageBreak/>
        <w:t>întâmpinare. Instanța de apel poate încuviința și administrarea probelor a căror necesitate rezultă din dezbateri.</w:t>
      </w:r>
    </w:p>
    <w:p w14:paraId="60CBF5F0" w14:textId="77777777" w:rsidR="00EA153E" w:rsidRPr="00250C7F" w:rsidRDefault="00EA153E" w:rsidP="00EA153E">
      <w:pPr>
        <w:spacing w:line="276" w:lineRule="auto"/>
        <w:ind w:firstLine="708"/>
        <w:contextualSpacing/>
        <w:jc w:val="both"/>
        <w:rPr>
          <w:rFonts w:ascii="Times New Roman" w:hAnsi="Times New Roman" w:cs="Times New Roman"/>
          <w:bCs/>
          <w:i/>
          <w:iCs/>
          <w:sz w:val="24"/>
          <w:szCs w:val="24"/>
        </w:rPr>
      </w:pPr>
      <w:r w:rsidRPr="00250C7F">
        <w:rPr>
          <w:rFonts w:ascii="Times New Roman" w:hAnsi="Times New Roman" w:cs="Times New Roman"/>
          <w:bCs/>
          <w:i/>
          <w:iCs/>
          <w:sz w:val="24"/>
          <w:szCs w:val="24"/>
        </w:rPr>
        <w:t>(3) În apel nu se poate schimba calitatea părților, cauza sau obiectul cererii de chemare în judecată și nici nu se pot formula pretenții noi.</w:t>
      </w:r>
    </w:p>
    <w:p w14:paraId="0BA6E822" w14:textId="77777777" w:rsidR="00EA153E" w:rsidRPr="00250C7F" w:rsidRDefault="00EA153E" w:rsidP="00EA153E">
      <w:pPr>
        <w:spacing w:line="276" w:lineRule="auto"/>
        <w:ind w:firstLine="708"/>
        <w:contextualSpacing/>
        <w:jc w:val="both"/>
        <w:rPr>
          <w:rFonts w:ascii="Times New Roman" w:hAnsi="Times New Roman" w:cs="Times New Roman"/>
          <w:bCs/>
          <w:i/>
          <w:iCs/>
          <w:sz w:val="24"/>
          <w:szCs w:val="24"/>
        </w:rPr>
      </w:pPr>
      <w:r w:rsidRPr="00250C7F">
        <w:rPr>
          <w:rFonts w:ascii="Times New Roman" w:hAnsi="Times New Roman" w:cs="Times New Roman"/>
          <w:bCs/>
          <w:i/>
          <w:iCs/>
          <w:sz w:val="24"/>
          <w:szCs w:val="24"/>
        </w:rPr>
        <w:t>(4) Părțile pot însă să expliciteze pretențiile care au fost cuprinse implicit în cererile sau apărările adresate primei instanțe.</w:t>
      </w:r>
    </w:p>
    <w:p w14:paraId="1D242211"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i/>
          <w:iCs/>
          <w:sz w:val="24"/>
          <w:szCs w:val="24"/>
        </w:rPr>
        <w:t>(5) Se vor putea cere, de asemenea, dobânzi, rate, venituri ajunse la termen și orice alte despăgubiri ivite după darea hotărârii primei instanțe și va putea fi invocată compensația legală</w:t>
      </w:r>
      <w:r w:rsidRPr="00250C7F">
        <w:rPr>
          <w:rFonts w:ascii="Times New Roman" w:hAnsi="Times New Roman" w:cs="Times New Roman"/>
          <w:bCs/>
          <w:sz w:val="24"/>
          <w:szCs w:val="24"/>
        </w:rPr>
        <w:t xml:space="preserve">”. </w:t>
      </w:r>
    </w:p>
    <w:p w14:paraId="0E3BA51E"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Din economia normei juridice enunțate reiese cu evidență că aceasta interzice </w:t>
      </w:r>
      <w:r w:rsidRPr="00250C7F">
        <w:rPr>
          <w:rFonts w:ascii="Times New Roman" w:hAnsi="Times New Roman" w:cs="Times New Roman"/>
          <w:bCs/>
          <w:i/>
          <w:iCs/>
          <w:sz w:val="24"/>
          <w:szCs w:val="24"/>
        </w:rPr>
        <w:t>schimbarea</w:t>
      </w:r>
      <w:r w:rsidRPr="00250C7F">
        <w:rPr>
          <w:rFonts w:ascii="Times New Roman" w:hAnsi="Times New Roman" w:cs="Times New Roman"/>
          <w:bCs/>
          <w:sz w:val="24"/>
          <w:szCs w:val="24"/>
        </w:rPr>
        <w:t xml:space="preserve"> în apel a cadrului procesual </w:t>
      </w:r>
      <w:r w:rsidRPr="00250C7F">
        <w:rPr>
          <w:rFonts w:ascii="Times New Roman" w:hAnsi="Times New Roman" w:cs="Times New Roman"/>
          <w:bCs/>
          <w:i/>
          <w:iCs/>
          <w:sz w:val="24"/>
          <w:szCs w:val="24"/>
        </w:rPr>
        <w:t xml:space="preserve">prin </w:t>
      </w:r>
      <w:r w:rsidRPr="00250C7F">
        <w:rPr>
          <w:rFonts w:ascii="Times New Roman" w:hAnsi="Times New Roman" w:cs="Times New Roman"/>
          <w:bCs/>
          <w:sz w:val="24"/>
          <w:szCs w:val="24"/>
        </w:rPr>
        <w:t xml:space="preserve">modificări aduse obiectului sau cauzei cererii de chemare în judecată, prin modificarea calității părților ori prin formularea de noi pretenții. </w:t>
      </w:r>
    </w:p>
    <w:p w14:paraId="213A398E"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Or, în condițiile în care legea nu  impune părții pârâte obligația de a formula cerere reconvențională spre a solicita și obține cheltuieli de judecată în cazul în care câștigă procesul, ci o asemenea solicitare are natura unui incident procesual legat de exercitarea dreptului la apărare - drept care nu este circumscris unui termen de decădere - nu există temei spre a se reține că instanța de apel, prin dispoziția de obligare a recurentei la plata și a cheltuielilor de judecată aferente fondului,</w:t>
      </w:r>
      <w:r w:rsidRPr="00250C7F">
        <w:rPr>
          <w:rFonts w:ascii="Times New Roman" w:hAnsi="Times New Roman" w:cs="Times New Roman"/>
          <w:sz w:val="24"/>
          <w:szCs w:val="24"/>
        </w:rPr>
        <w:t xml:space="preserve"> </w:t>
      </w:r>
      <w:r w:rsidRPr="00250C7F">
        <w:rPr>
          <w:rFonts w:ascii="Times New Roman" w:hAnsi="Times New Roman" w:cs="Times New Roman"/>
          <w:bCs/>
          <w:sz w:val="24"/>
          <w:szCs w:val="24"/>
        </w:rPr>
        <w:t>ar fi analizat o ,,pretenție nouă” și ar fi depășit astfel cadrul procesual impus de prevederile art. 478 din C.pr.civ.</w:t>
      </w:r>
    </w:p>
    <w:p w14:paraId="51BEC544"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 xml:space="preserve">Aspectele evocate în legătură cu probațiunea cheltuielilor de judecată, respectiv că nu au fost depuse dovezi ale acestor cheltuielilor încă de la prima instanță, nu relevă un aspect de nelegalitate a deciziei pentru că judecata în apel are caracter devolutiv și permite – prin art. 479 alin. 2 din C.pr.civ. - completarea probatoriului în această etapă a judecății. </w:t>
      </w:r>
    </w:p>
    <w:p w14:paraId="1EA2A2E3" w14:textId="77777777" w:rsidR="00EA153E" w:rsidRPr="00250C7F" w:rsidRDefault="00EA153E" w:rsidP="00EA153E">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Având în vedere considerentele expuse și dispozițiile legale menționate, Înalta Curte constată şi aceste ultime critici aduse de recurentă deciziei instanței de apel nu relevă vicii de nelegalitate a hotărârii supuse controlului judiciar.</w:t>
      </w:r>
    </w:p>
    <w:p w14:paraId="6AFFD54B" w14:textId="1A07FDCA" w:rsidR="00EA153E" w:rsidRPr="00250C7F" w:rsidRDefault="00EA153E" w:rsidP="005C2149">
      <w:pPr>
        <w:spacing w:line="276" w:lineRule="auto"/>
        <w:ind w:firstLine="708"/>
        <w:contextualSpacing/>
        <w:jc w:val="both"/>
        <w:rPr>
          <w:rFonts w:ascii="Times New Roman" w:hAnsi="Times New Roman" w:cs="Times New Roman"/>
          <w:bCs/>
          <w:sz w:val="24"/>
          <w:szCs w:val="24"/>
        </w:rPr>
      </w:pPr>
      <w:r w:rsidRPr="00250C7F">
        <w:rPr>
          <w:rFonts w:ascii="Times New Roman" w:hAnsi="Times New Roman" w:cs="Times New Roman"/>
          <w:bCs/>
          <w:sz w:val="24"/>
          <w:szCs w:val="24"/>
        </w:rPr>
        <w:t>Prin urmare, în conformitate cu prevederile art. 497 raportat la art. 496 din C.pr.civ., Înalta Curte a dispus respingerea recursului astfel cum a fost susținut prin criticile anterior analizate.</w:t>
      </w:r>
    </w:p>
    <w:p w14:paraId="3F9FEF0C" w14:textId="77777777" w:rsidR="005C2149" w:rsidRPr="00250C7F" w:rsidRDefault="005C2149" w:rsidP="005C2149">
      <w:pPr>
        <w:spacing w:line="276" w:lineRule="auto"/>
        <w:ind w:firstLine="708"/>
        <w:contextualSpacing/>
        <w:jc w:val="both"/>
        <w:rPr>
          <w:rFonts w:ascii="Times New Roman" w:hAnsi="Times New Roman" w:cs="Times New Roman"/>
          <w:bCs/>
          <w:sz w:val="24"/>
          <w:szCs w:val="24"/>
        </w:rPr>
      </w:pPr>
    </w:p>
    <w:p w14:paraId="30B4A719" w14:textId="40F56265" w:rsidR="00C7648A" w:rsidRPr="00250C7F" w:rsidRDefault="00EA153E" w:rsidP="00C7648A">
      <w:pPr>
        <w:spacing w:line="276" w:lineRule="auto"/>
        <w:ind w:firstLine="708"/>
        <w:jc w:val="both"/>
        <w:rPr>
          <w:rFonts w:ascii="Times New Roman" w:hAnsi="Times New Roman" w:cs="Times New Roman"/>
          <w:sz w:val="24"/>
          <w:szCs w:val="24"/>
        </w:rPr>
      </w:pPr>
      <w:r w:rsidRPr="00250C7F">
        <w:rPr>
          <w:rFonts w:ascii="Times New Roman" w:hAnsi="Times New Roman" w:cs="Times New Roman"/>
          <w:b/>
          <w:bCs/>
          <w:sz w:val="24"/>
          <w:szCs w:val="24"/>
        </w:rPr>
        <w:t>Notă:</w:t>
      </w:r>
      <w:r w:rsidRPr="00250C7F">
        <w:rPr>
          <w:rFonts w:ascii="Times New Roman" w:hAnsi="Times New Roman" w:cs="Times New Roman"/>
          <w:sz w:val="24"/>
          <w:szCs w:val="24"/>
        </w:rPr>
        <w:t xml:space="preserve"> Legea nr. 84/1998 a fost republicată în M.Of. nr. 856 din 18 septembrie 2020, textele de lege fiind renumerotate</w:t>
      </w:r>
    </w:p>
    <w:p w14:paraId="54CCA115" w14:textId="41BDA4B7" w:rsidR="00260FB8" w:rsidRPr="00250C7F" w:rsidRDefault="0016020A" w:rsidP="00A9433C">
      <w:pPr>
        <w:pStyle w:val="Heading1"/>
        <w:spacing w:line="276" w:lineRule="auto"/>
        <w:rPr>
          <w:sz w:val="24"/>
          <w:szCs w:val="24"/>
          <w:lang w:val="ro-RO"/>
        </w:rPr>
      </w:pPr>
      <w:bookmarkStart w:id="17" w:name="_Toc84584807"/>
      <w:r w:rsidRPr="00250C7F">
        <w:rPr>
          <w:sz w:val="24"/>
          <w:szCs w:val="24"/>
          <w:lang w:val="ro-RO"/>
        </w:rPr>
        <w:t>DREPT COMERCIAL</w:t>
      </w:r>
      <w:bookmarkEnd w:id="17"/>
    </w:p>
    <w:p w14:paraId="2364D4C7" w14:textId="77777777" w:rsidR="00A9433C" w:rsidRPr="00250C7F" w:rsidRDefault="00A9433C" w:rsidP="00A9433C">
      <w:pPr>
        <w:rPr>
          <w:lang w:eastAsia="ro-RO"/>
        </w:rPr>
      </w:pPr>
    </w:p>
    <w:p w14:paraId="44444594" w14:textId="77777777" w:rsidR="0016020A" w:rsidRPr="00250C7F" w:rsidRDefault="00403506" w:rsidP="00891584">
      <w:pPr>
        <w:pStyle w:val="Heading2"/>
        <w:spacing w:line="276" w:lineRule="auto"/>
        <w:jc w:val="center"/>
        <w:rPr>
          <w:rFonts w:ascii="Times New Roman" w:eastAsia="Times New Roman" w:hAnsi="Times New Roman" w:cs="Times New Roman"/>
          <w:b/>
          <w:i/>
          <w:color w:val="auto"/>
          <w:sz w:val="24"/>
          <w:szCs w:val="24"/>
        </w:rPr>
      </w:pPr>
      <w:bookmarkStart w:id="18" w:name="_Toc84584808"/>
      <w:r w:rsidRPr="00250C7F">
        <w:rPr>
          <w:rFonts w:ascii="Times New Roman" w:eastAsia="Times New Roman" w:hAnsi="Times New Roman" w:cs="Times New Roman"/>
          <w:b/>
          <w:i/>
          <w:color w:val="auto"/>
          <w:sz w:val="24"/>
          <w:szCs w:val="24"/>
        </w:rPr>
        <w:t>I.</w:t>
      </w:r>
      <w:r w:rsidR="00B94AFC" w:rsidRPr="00250C7F">
        <w:rPr>
          <w:rFonts w:ascii="Times New Roman" w:eastAsia="Times New Roman" w:hAnsi="Times New Roman" w:cs="Times New Roman"/>
          <w:b/>
          <w:i/>
          <w:color w:val="auto"/>
          <w:sz w:val="24"/>
          <w:szCs w:val="24"/>
        </w:rPr>
        <w:t xml:space="preserve"> </w:t>
      </w:r>
      <w:r w:rsidRPr="00250C7F">
        <w:rPr>
          <w:rFonts w:ascii="Times New Roman" w:eastAsia="Times New Roman" w:hAnsi="Times New Roman" w:cs="Times New Roman"/>
          <w:b/>
          <w:i/>
          <w:color w:val="auto"/>
          <w:sz w:val="24"/>
          <w:szCs w:val="24"/>
        </w:rPr>
        <w:t>Funcționarea societăților</w:t>
      </w:r>
      <w:bookmarkEnd w:id="18"/>
    </w:p>
    <w:p w14:paraId="1575336B" w14:textId="41D0F659" w:rsidR="000303CA" w:rsidRPr="00250C7F" w:rsidRDefault="000303CA" w:rsidP="001C6535">
      <w:pPr>
        <w:spacing w:after="0" w:line="276" w:lineRule="auto"/>
        <w:rPr>
          <w:rFonts w:ascii="Times New Roman" w:eastAsia="Times New Roman" w:hAnsi="Times New Roman" w:cs="Times New Roman"/>
          <w:sz w:val="24"/>
          <w:szCs w:val="24"/>
        </w:rPr>
      </w:pPr>
    </w:p>
    <w:p w14:paraId="3F1387CA" w14:textId="1193008E" w:rsidR="00AD62B8" w:rsidRPr="00250C7F" w:rsidRDefault="009D1667" w:rsidP="00CB3E33">
      <w:pPr>
        <w:pStyle w:val="ListParagraph"/>
        <w:widowControl/>
        <w:tabs>
          <w:tab w:val="left" w:pos="284"/>
        </w:tabs>
        <w:autoSpaceDE/>
        <w:autoSpaceDN/>
        <w:adjustRightInd/>
        <w:spacing w:line="276" w:lineRule="auto"/>
        <w:ind w:left="0"/>
        <w:jc w:val="both"/>
        <w:outlineLvl w:val="2"/>
        <w:rPr>
          <w:rFonts w:ascii="Times New Roman" w:hAnsi="Times New Roman" w:cs="Times New Roman"/>
          <w:b/>
          <w:color w:val="000000"/>
          <w:sz w:val="24"/>
          <w:szCs w:val="24"/>
          <w:shd w:val="clear" w:color="auto" w:fill="FFFFFF"/>
          <w:lang w:eastAsia="ro-RO"/>
        </w:rPr>
      </w:pPr>
      <w:bookmarkStart w:id="19" w:name="_Toc84584809"/>
      <w:r w:rsidRPr="00250C7F">
        <w:rPr>
          <w:rFonts w:ascii="Times New Roman" w:hAnsi="Times New Roman" w:cs="Times New Roman"/>
          <w:b/>
          <w:sz w:val="24"/>
          <w:szCs w:val="24"/>
        </w:rPr>
        <w:t xml:space="preserve">1. </w:t>
      </w:r>
      <w:r w:rsidR="007A6D41" w:rsidRPr="00250C7F">
        <w:rPr>
          <w:rFonts w:ascii="Times New Roman" w:hAnsi="Times New Roman" w:cs="Times New Roman"/>
          <w:b/>
          <w:color w:val="000000"/>
          <w:sz w:val="24"/>
          <w:szCs w:val="24"/>
          <w:shd w:val="clear" w:color="auto" w:fill="FFFFFF"/>
          <w:lang w:eastAsia="ro-RO"/>
        </w:rPr>
        <w:tab/>
        <w:t>Societate pe acțiuni. Contract de mandat. Acțiune în constatarea nulității absolute a clauzei contractuale de stabilire a unei remunerații suplimentare. Încălcarea dispozițiilor art. 153</w:t>
      </w:r>
      <w:r w:rsidR="007A6D41" w:rsidRPr="00D672CA">
        <w:rPr>
          <w:rFonts w:ascii="Times New Roman" w:hAnsi="Times New Roman" w:cs="Times New Roman"/>
          <w:b/>
          <w:color w:val="000000"/>
          <w:sz w:val="24"/>
          <w:szCs w:val="24"/>
          <w:shd w:val="clear" w:color="auto" w:fill="FFFFFF"/>
          <w:vertAlign w:val="superscript"/>
          <w:lang w:eastAsia="ro-RO"/>
        </w:rPr>
        <w:t>18</w:t>
      </w:r>
      <w:r w:rsidR="007A6D41" w:rsidRPr="00250C7F">
        <w:rPr>
          <w:rFonts w:ascii="Times New Roman" w:hAnsi="Times New Roman" w:cs="Times New Roman"/>
          <w:b/>
          <w:color w:val="000000"/>
          <w:sz w:val="24"/>
          <w:szCs w:val="24"/>
          <w:shd w:val="clear" w:color="auto" w:fill="FFFFFF"/>
          <w:lang w:eastAsia="ro-RO"/>
        </w:rPr>
        <w:t xml:space="preserve"> din Legea nr. 31/1990. Consecințe</w:t>
      </w:r>
      <w:bookmarkEnd w:id="19"/>
    </w:p>
    <w:p w14:paraId="335983EA" w14:textId="77777777" w:rsidR="003C168C" w:rsidRPr="00250C7F" w:rsidRDefault="003C168C" w:rsidP="00CB3E33">
      <w:pPr>
        <w:pStyle w:val="ListParagraph"/>
        <w:widowControl/>
        <w:tabs>
          <w:tab w:val="left" w:pos="284"/>
        </w:tabs>
        <w:autoSpaceDE/>
        <w:autoSpaceDN/>
        <w:adjustRightInd/>
        <w:ind w:left="0"/>
        <w:jc w:val="both"/>
        <w:rPr>
          <w:rFonts w:ascii="Times New Roman" w:hAnsi="Times New Roman" w:cs="Times New Roman"/>
          <w:b/>
          <w:color w:val="000000"/>
          <w:sz w:val="24"/>
          <w:szCs w:val="24"/>
          <w:shd w:val="clear" w:color="auto" w:fill="FFFFFF"/>
          <w:lang w:eastAsia="ro-RO"/>
        </w:rPr>
      </w:pPr>
    </w:p>
    <w:p w14:paraId="4B8BFA85" w14:textId="77777777" w:rsidR="003C168C" w:rsidRPr="00250C7F" w:rsidRDefault="003C168C" w:rsidP="00CB3E33">
      <w:pPr>
        <w:spacing w:after="0" w:line="240" w:lineRule="auto"/>
        <w:ind w:firstLine="720"/>
        <w:jc w:val="right"/>
        <w:rPr>
          <w:rFonts w:ascii="Times New Roman" w:hAnsi="Times New Roman" w:cs="Times New Roman"/>
          <w:color w:val="000000"/>
          <w:sz w:val="24"/>
          <w:szCs w:val="24"/>
          <w:shd w:val="clear" w:color="auto" w:fill="FFFFFF"/>
          <w:lang w:eastAsia="ro-RO"/>
        </w:rPr>
      </w:pPr>
      <w:r w:rsidRPr="00250C7F">
        <w:rPr>
          <w:rFonts w:ascii="Times New Roman" w:hAnsi="Times New Roman" w:cs="Times New Roman"/>
          <w:color w:val="000000"/>
          <w:sz w:val="24"/>
          <w:szCs w:val="24"/>
          <w:shd w:val="clear" w:color="auto" w:fill="FFFFFF"/>
          <w:lang w:eastAsia="ro-RO"/>
        </w:rPr>
        <w:t>C. civ., art. 1246 alin. (1), art. 1247 alin. (2)</w:t>
      </w:r>
    </w:p>
    <w:p w14:paraId="54169C07" w14:textId="77777777" w:rsidR="003C168C" w:rsidRPr="00250C7F" w:rsidRDefault="003C168C" w:rsidP="00CB3E33">
      <w:pPr>
        <w:spacing w:after="0" w:line="240" w:lineRule="auto"/>
        <w:ind w:firstLine="720"/>
        <w:jc w:val="right"/>
        <w:rPr>
          <w:rFonts w:ascii="Times New Roman" w:hAnsi="Times New Roman" w:cs="Times New Roman"/>
          <w:color w:val="000000"/>
          <w:sz w:val="24"/>
          <w:szCs w:val="24"/>
          <w:shd w:val="clear" w:color="auto" w:fill="FFFFFF"/>
          <w:lang w:eastAsia="ro-RO"/>
        </w:rPr>
      </w:pPr>
      <w:r w:rsidRPr="00250C7F">
        <w:rPr>
          <w:rFonts w:ascii="Times New Roman" w:hAnsi="Times New Roman" w:cs="Times New Roman"/>
          <w:color w:val="000000"/>
          <w:sz w:val="24"/>
          <w:szCs w:val="24"/>
          <w:shd w:val="clear" w:color="auto" w:fill="FFFFFF"/>
          <w:lang w:eastAsia="ro-RO"/>
        </w:rPr>
        <w:t>Legea nr. 31/1990, art. 55, art. 72, art. 153</w:t>
      </w:r>
      <w:r w:rsidRPr="00250C7F">
        <w:rPr>
          <w:rFonts w:ascii="Times New Roman" w:hAnsi="Times New Roman" w:cs="Times New Roman"/>
          <w:color w:val="000000"/>
          <w:sz w:val="24"/>
          <w:szCs w:val="24"/>
          <w:shd w:val="clear" w:color="auto" w:fill="FFFFFF"/>
          <w:vertAlign w:val="superscript"/>
          <w:lang w:eastAsia="ro-RO"/>
        </w:rPr>
        <w:t>18</w:t>
      </w:r>
    </w:p>
    <w:p w14:paraId="30CDA464" w14:textId="026C9EF9" w:rsidR="009D1667" w:rsidRPr="00250C7F" w:rsidRDefault="003C168C" w:rsidP="00CB3E33">
      <w:pPr>
        <w:spacing w:after="0" w:line="240" w:lineRule="auto"/>
        <w:ind w:firstLine="720"/>
        <w:jc w:val="right"/>
        <w:rPr>
          <w:rFonts w:ascii="Times New Roman" w:hAnsi="Times New Roman" w:cs="Times New Roman"/>
          <w:color w:val="000000"/>
          <w:sz w:val="24"/>
          <w:szCs w:val="24"/>
          <w:shd w:val="clear" w:color="auto" w:fill="FFFFFF"/>
          <w:lang w:eastAsia="ro-RO"/>
        </w:rPr>
      </w:pPr>
      <w:r w:rsidRPr="00250C7F">
        <w:rPr>
          <w:rFonts w:ascii="Times New Roman" w:hAnsi="Times New Roman" w:cs="Times New Roman"/>
          <w:color w:val="000000"/>
          <w:sz w:val="24"/>
          <w:szCs w:val="24"/>
          <w:shd w:val="clear" w:color="auto" w:fill="FFFFFF"/>
          <w:lang w:eastAsia="ro-RO"/>
        </w:rPr>
        <w:t>O.U.G. nr. 109/2011, art. 37 alin. (1)</w:t>
      </w:r>
    </w:p>
    <w:p w14:paraId="5C2861EC" w14:textId="77777777" w:rsidR="005A4629" w:rsidRPr="00250C7F" w:rsidRDefault="005A4629" w:rsidP="00891584">
      <w:pPr>
        <w:spacing w:after="0" w:line="276" w:lineRule="auto"/>
        <w:ind w:firstLine="720"/>
        <w:jc w:val="right"/>
        <w:rPr>
          <w:rFonts w:ascii="Times New Roman" w:hAnsi="Times New Roman" w:cs="Times New Roman"/>
          <w:color w:val="000000"/>
          <w:sz w:val="24"/>
          <w:szCs w:val="24"/>
          <w:shd w:val="clear" w:color="auto" w:fill="FFFFFF"/>
          <w:lang w:eastAsia="ro-RO"/>
        </w:rPr>
      </w:pPr>
    </w:p>
    <w:p w14:paraId="337721D0" w14:textId="77777777" w:rsidR="003C168C" w:rsidRPr="00250C7F" w:rsidRDefault="003C168C" w:rsidP="003C168C">
      <w:pPr>
        <w:spacing w:after="0" w:line="276" w:lineRule="auto"/>
        <w:ind w:firstLine="708"/>
        <w:jc w:val="both"/>
        <w:rPr>
          <w:rFonts w:ascii="Times New Roman" w:hAnsi="Times New Roman" w:cs="Times New Roman"/>
          <w:i/>
          <w:color w:val="000000"/>
          <w:sz w:val="24"/>
          <w:szCs w:val="24"/>
          <w:shd w:val="clear" w:color="auto" w:fill="FFFFFF"/>
          <w:lang w:eastAsia="ro-RO"/>
        </w:rPr>
      </w:pPr>
      <w:r w:rsidRPr="00250C7F">
        <w:rPr>
          <w:rFonts w:ascii="Times New Roman" w:hAnsi="Times New Roman" w:cs="Times New Roman"/>
          <w:i/>
          <w:color w:val="000000"/>
          <w:sz w:val="24"/>
          <w:szCs w:val="24"/>
          <w:shd w:val="clear" w:color="auto" w:fill="FFFFFF"/>
          <w:lang w:eastAsia="ro-RO"/>
        </w:rPr>
        <w:lastRenderedPageBreak/>
        <w:t>Dispozițiile art. 153</w:t>
      </w:r>
      <w:r w:rsidRPr="00250C7F">
        <w:rPr>
          <w:rFonts w:ascii="Times New Roman" w:hAnsi="Times New Roman" w:cs="Times New Roman"/>
          <w:i/>
          <w:color w:val="000000"/>
          <w:sz w:val="24"/>
          <w:szCs w:val="24"/>
          <w:shd w:val="clear" w:color="auto" w:fill="FFFFFF"/>
          <w:vertAlign w:val="superscript"/>
          <w:lang w:eastAsia="ro-RO"/>
        </w:rPr>
        <w:t>18</w:t>
      </w:r>
      <w:r w:rsidRPr="00250C7F">
        <w:rPr>
          <w:rFonts w:ascii="Times New Roman" w:hAnsi="Times New Roman" w:cs="Times New Roman"/>
          <w:i/>
          <w:color w:val="000000"/>
          <w:sz w:val="24"/>
          <w:szCs w:val="24"/>
          <w:shd w:val="clear" w:color="auto" w:fill="FFFFFF"/>
          <w:lang w:eastAsia="ro-RO"/>
        </w:rPr>
        <w:t xml:space="preserve"> din Legea nr. 31/1990 prevăd faptul că remunerația suplimentară a membrilor consiliului de administrație este stabilită de consiliul de administrație și se acordă în baza unei hotărâri de aprobare emise de adunarea generală a acționarilor societății comerciale, această condiție fiind impusă expres.</w:t>
      </w:r>
    </w:p>
    <w:p w14:paraId="0B74C575" w14:textId="2DBD91EA" w:rsidR="009D1667" w:rsidRPr="00250C7F" w:rsidRDefault="003C168C" w:rsidP="003C168C">
      <w:pPr>
        <w:spacing w:after="0" w:line="276" w:lineRule="auto"/>
        <w:ind w:firstLine="708"/>
        <w:jc w:val="both"/>
        <w:rPr>
          <w:rFonts w:ascii="Times New Roman" w:hAnsi="Times New Roman" w:cs="Times New Roman"/>
          <w:i/>
          <w:color w:val="000000"/>
          <w:sz w:val="24"/>
          <w:szCs w:val="24"/>
          <w:shd w:val="clear" w:color="auto" w:fill="FFFFFF"/>
          <w:lang w:eastAsia="ro-RO"/>
        </w:rPr>
      </w:pPr>
      <w:r w:rsidRPr="00250C7F">
        <w:rPr>
          <w:rFonts w:ascii="Times New Roman" w:hAnsi="Times New Roman" w:cs="Times New Roman"/>
          <w:i/>
          <w:color w:val="000000"/>
          <w:sz w:val="24"/>
          <w:szCs w:val="24"/>
          <w:shd w:val="clear" w:color="auto" w:fill="FFFFFF"/>
          <w:lang w:eastAsia="ro-RO"/>
        </w:rPr>
        <w:t>Clauza contractuală prin care s-a stabilit remunerația suplimentară fără o hotărâre a adunării generale a acționarilor încalcă dispozițiile legale din Legea nr. 31/1990, dar sancțiunea nu este nulitatea absolută, ci nulitatea relativă deoarece legea nu prevede sancțiunea nulității absolute și nici nu rezultă neîndoielnic faptul că interesul este unul general.</w:t>
      </w:r>
    </w:p>
    <w:p w14:paraId="5C93796D" w14:textId="77777777" w:rsidR="003C168C" w:rsidRPr="00250C7F" w:rsidRDefault="003C168C" w:rsidP="003C168C">
      <w:pPr>
        <w:spacing w:after="0" w:line="276" w:lineRule="auto"/>
        <w:jc w:val="both"/>
        <w:rPr>
          <w:rFonts w:ascii="Times New Roman" w:hAnsi="Times New Roman" w:cs="Times New Roman"/>
          <w:sz w:val="24"/>
          <w:szCs w:val="24"/>
        </w:rPr>
      </w:pPr>
    </w:p>
    <w:p w14:paraId="19C7DA65" w14:textId="5CD3C40F" w:rsidR="009D1667" w:rsidRPr="00250C7F" w:rsidRDefault="00D71A7D" w:rsidP="00891584">
      <w:pPr>
        <w:spacing w:after="0" w:line="276" w:lineRule="auto"/>
        <w:jc w:val="both"/>
        <w:rPr>
          <w:rFonts w:ascii="Times New Roman" w:hAnsi="Times New Roman" w:cs="Times New Roman"/>
          <w:sz w:val="24"/>
          <w:szCs w:val="24"/>
        </w:rPr>
      </w:pPr>
      <w:r w:rsidRPr="00250C7F">
        <w:rPr>
          <w:rFonts w:ascii="Times New Roman" w:hAnsi="Times New Roman" w:cs="Times New Roman"/>
          <w:sz w:val="24"/>
          <w:szCs w:val="24"/>
        </w:rPr>
        <w:t xml:space="preserve">I.C.C.J., </w:t>
      </w:r>
      <w:r w:rsidR="009D1667" w:rsidRPr="00250C7F">
        <w:rPr>
          <w:rFonts w:ascii="Times New Roman" w:hAnsi="Times New Roman" w:cs="Times New Roman"/>
          <w:sz w:val="24"/>
          <w:szCs w:val="24"/>
        </w:rPr>
        <w:t xml:space="preserve">Secţia a II-a civilă, </w:t>
      </w:r>
      <w:r w:rsidR="0075467B" w:rsidRPr="00250C7F">
        <w:rPr>
          <w:rFonts w:ascii="Times New Roman" w:hAnsi="Times New Roman" w:cs="Times New Roman"/>
          <w:sz w:val="24"/>
          <w:szCs w:val="24"/>
        </w:rPr>
        <w:t xml:space="preserve">decizia </w:t>
      </w:r>
      <w:r w:rsidR="009D1667" w:rsidRPr="00250C7F">
        <w:rPr>
          <w:rFonts w:ascii="Times New Roman" w:hAnsi="Times New Roman" w:cs="Times New Roman"/>
          <w:sz w:val="24"/>
          <w:szCs w:val="24"/>
        </w:rPr>
        <w:t xml:space="preserve">nr. </w:t>
      </w:r>
      <w:r w:rsidR="003C168C" w:rsidRPr="00250C7F">
        <w:rPr>
          <w:rFonts w:ascii="Times New Roman" w:hAnsi="Times New Roman" w:cs="Times New Roman"/>
          <w:sz w:val="24"/>
          <w:szCs w:val="24"/>
        </w:rPr>
        <w:t>153 din 28 ianuarie 2021</w:t>
      </w:r>
    </w:p>
    <w:p w14:paraId="231213B5" w14:textId="77777777" w:rsidR="009D1667" w:rsidRPr="00250C7F" w:rsidRDefault="009D1667" w:rsidP="00891584">
      <w:pPr>
        <w:spacing w:after="0" w:line="276" w:lineRule="auto"/>
        <w:jc w:val="both"/>
        <w:rPr>
          <w:rFonts w:ascii="Times New Roman" w:hAnsi="Times New Roman" w:cs="Times New Roman"/>
          <w:b/>
          <w:sz w:val="24"/>
          <w:szCs w:val="24"/>
          <w:u w:val="single"/>
        </w:rPr>
      </w:pPr>
    </w:p>
    <w:p w14:paraId="0DA761CB" w14:textId="1510381F" w:rsidR="003C168C" w:rsidRPr="00250C7F" w:rsidRDefault="003C168C" w:rsidP="003C168C">
      <w:pPr>
        <w:pStyle w:val="ListParagraph"/>
        <w:numPr>
          <w:ilvl w:val="0"/>
          <w:numId w:val="40"/>
        </w:numPr>
        <w:spacing w:line="276" w:lineRule="auto"/>
        <w:jc w:val="both"/>
        <w:rPr>
          <w:rFonts w:ascii="Times New Roman" w:hAnsi="Times New Roman"/>
          <w:i/>
          <w:sz w:val="24"/>
          <w:szCs w:val="24"/>
        </w:rPr>
      </w:pPr>
      <w:r w:rsidRPr="00250C7F">
        <w:rPr>
          <w:rFonts w:ascii="Times New Roman" w:hAnsi="Times New Roman"/>
          <w:i/>
          <w:sz w:val="24"/>
          <w:szCs w:val="24"/>
        </w:rPr>
        <w:t>Obiectul cererii introductive</w:t>
      </w:r>
    </w:p>
    <w:p w14:paraId="695F54BA" w14:textId="77777777" w:rsidR="003C168C" w:rsidRPr="00250C7F" w:rsidRDefault="003C168C" w:rsidP="003C168C">
      <w:pPr>
        <w:spacing w:after="0" w:line="276" w:lineRule="auto"/>
        <w:ind w:firstLine="720"/>
        <w:jc w:val="both"/>
        <w:rPr>
          <w:rFonts w:ascii="Times New Roman" w:hAnsi="Times New Roman"/>
          <w:sz w:val="24"/>
          <w:szCs w:val="24"/>
        </w:rPr>
      </w:pPr>
      <w:r w:rsidRPr="00250C7F">
        <w:rPr>
          <w:rFonts w:ascii="Times New Roman" w:hAnsi="Times New Roman"/>
          <w:sz w:val="24"/>
          <w:szCs w:val="24"/>
        </w:rPr>
        <w:t>Prin cererea înregistrată pe rolul Tribunalului Constanța, Secția a II-a civilă, reclamanta Compania Națională A. SA Constanța în contradictoriu cu pârâta B. a solicitat să se constate nulitatea absolută a prevederilor art. 4.3 din contractul de mandat nr. 3 din 4 februarie 2013 și să se dispună repunerea părților în situația anterioară cu obligarea pârâtei la plata sumei de 2622 lei reprezentând plată remunerație aferentă desfășurării activității în cadrul comitetului de nominalizare și remunerare, remunerație aferentă lunilor aprilie și iulie 2013.</w:t>
      </w:r>
    </w:p>
    <w:p w14:paraId="09425551" w14:textId="6C349264" w:rsidR="003C168C" w:rsidRPr="00250C7F" w:rsidRDefault="003C168C" w:rsidP="003C168C">
      <w:pPr>
        <w:pStyle w:val="ListParagraph"/>
        <w:numPr>
          <w:ilvl w:val="0"/>
          <w:numId w:val="40"/>
        </w:numPr>
        <w:spacing w:line="276" w:lineRule="auto"/>
        <w:jc w:val="both"/>
        <w:rPr>
          <w:rFonts w:ascii="Times New Roman" w:hAnsi="Times New Roman"/>
          <w:i/>
          <w:sz w:val="24"/>
          <w:szCs w:val="24"/>
        </w:rPr>
      </w:pPr>
      <w:r w:rsidRPr="00250C7F">
        <w:rPr>
          <w:rFonts w:ascii="Times New Roman" w:hAnsi="Times New Roman"/>
          <w:i/>
          <w:sz w:val="24"/>
          <w:szCs w:val="24"/>
        </w:rPr>
        <w:t>Hotărârea primei instanțe</w:t>
      </w:r>
    </w:p>
    <w:p w14:paraId="50CFAD90" w14:textId="77777777" w:rsidR="003C168C" w:rsidRPr="00250C7F" w:rsidRDefault="003C168C" w:rsidP="003C168C">
      <w:pPr>
        <w:spacing w:after="0" w:line="276" w:lineRule="auto"/>
        <w:ind w:firstLine="720"/>
        <w:jc w:val="both"/>
        <w:rPr>
          <w:rFonts w:ascii="Times New Roman" w:hAnsi="Times New Roman"/>
          <w:sz w:val="24"/>
          <w:szCs w:val="24"/>
        </w:rPr>
      </w:pPr>
      <w:r w:rsidRPr="00250C7F">
        <w:rPr>
          <w:rFonts w:ascii="Times New Roman" w:hAnsi="Times New Roman"/>
          <w:sz w:val="24"/>
          <w:szCs w:val="24"/>
        </w:rPr>
        <w:t>Prin sentința nr. 1243 din 4 septembrie 2019, Tribunalul Constanța, Secția a II-a civilă, a respins acțiunea formulată de reclamanta Compania Națională A. SA Constanța în contradictoriu cu pârâta B. ca nefondată și a obligat reclamanta în favoarea pârâtei la plata sumei de 1000 lei cheltuieli de judecată reprezentând onorariu de avocat.</w:t>
      </w:r>
    </w:p>
    <w:p w14:paraId="4A423C70" w14:textId="0F898D3F" w:rsidR="003C168C" w:rsidRPr="00250C7F" w:rsidRDefault="003C168C" w:rsidP="003C168C">
      <w:pPr>
        <w:pStyle w:val="ListParagraph"/>
        <w:numPr>
          <w:ilvl w:val="0"/>
          <w:numId w:val="40"/>
        </w:numPr>
        <w:spacing w:line="276" w:lineRule="auto"/>
        <w:jc w:val="both"/>
        <w:rPr>
          <w:rFonts w:ascii="Times New Roman" w:hAnsi="Times New Roman"/>
          <w:i/>
          <w:sz w:val="24"/>
          <w:szCs w:val="24"/>
        </w:rPr>
      </w:pPr>
      <w:r w:rsidRPr="00250C7F">
        <w:rPr>
          <w:rFonts w:ascii="Times New Roman" w:hAnsi="Times New Roman"/>
          <w:i/>
          <w:sz w:val="24"/>
          <w:szCs w:val="24"/>
        </w:rPr>
        <w:t>Calea de atac împotriva hotărârii primei instanțe</w:t>
      </w:r>
    </w:p>
    <w:p w14:paraId="6A156755"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Împotriva sentinței pronunțate de Tribunalul Constanța a declarat apel reclamanta Compania Națională A. SA Constanța, criticând-o pentru netemeinicie și solicitând schimbarea în tot a sentinței atacate, în sensul admiterii cererii de chemare în judecată astfel cum a fost formulată.</w:t>
      </w:r>
    </w:p>
    <w:p w14:paraId="522A0F21" w14:textId="2D3F5DDF" w:rsidR="003C168C" w:rsidRPr="00250C7F" w:rsidRDefault="003C168C" w:rsidP="003C168C">
      <w:pPr>
        <w:pStyle w:val="ListParagraph"/>
        <w:numPr>
          <w:ilvl w:val="0"/>
          <w:numId w:val="40"/>
        </w:numPr>
        <w:spacing w:line="276" w:lineRule="auto"/>
        <w:jc w:val="both"/>
        <w:rPr>
          <w:rFonts w:ascii="Times New Roman" w:hAnsi="Times New Roman"/>
          <w:i/>
          <w:sz w:val="24"/>
          <w:szCs w:val="24"/>
        </w:rPr>
      </w:pPr>
      <w:r w:rsidRPr="00250C7F">
        <w:rPr>
          <w:rFonts w:ascii="Times New Roman" w:hAnsi="Times New Roman"/>
          <w:i/>
          <w:sz w:val="24"/>
          <w:szCs w:val="24"/>
        </w:rPr>
        <w:t>Hotărârea instanței de apel</w:t>
      </w:r>
    </w:p>
    <w:p w14:paraId="32934A5E"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 xml:space="preserve">Prin decizia civilă nr. 166 din 22 iunie 2020, Curtea de Apel Constanța, Secția a II-a civilă, de contencios administrativ și fiscal, a respins ca nefondat apelul declarat de reclamanta Compania Națională A. SA împotriva sentinței civile nr. 1243 din 4 septembrie 2019, pronunțată de Tribunalul Constanța, în contradictoriu cu intimata-pârâtă B. și a obligat apelanta-pârâtă la plata către intimată a sumei de 1000 lei cheltuieli de judecată în apel, reprezentând onorariu avocat. </w:t>
      </w:r>
    </w:p>
    <w:p w14:paraId="5798C8C5" w14:textId="3E7B5778" w:rsidR="003C168C" w:rsidRPr="00250C7F" w:rsidRDefault="003C168C" w:rsidP="003C168C">
      <w:pPr>
        <w:pStyle w:val="ListParagraph"/>
        <w:numPr>
          <w:ilvl w:val="0"/>
          <w:numId w:val="40"/>
        </w:numPr>
        <w:spacing w:line="276" w:lineRule="auto"/>
        <w:jc w:val="both"/>
        <w:rPr>
          <w:rFonts w:ascii="Times New Roman" w:hAnsi="Times New Roman"/>
          <w:i/>
          <w:sz w:val="24"/>
          <w:szCs w:val="24"/>
        </w:rPr>
      </w:pPr>
      <w:r w:rsidRPr="00250C7F">
        <w:rPr>
          <w:rFonts w:ascii="Times New Roman" w:hAnsi="Times New Roman"/>
          <w:i/>
          <w:sz w:val="24"/>
          <w:szCs w:val="24"/>
        </w:rPr>
        <w:t>Considerentele instanței de apel</w:t>
      </w:r>
    </w:p>
    <w:p w14:paraId="1B5B187E"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Pentru a pronunța această soluție, Curtea de apel a reținut, în esență, următoarele:</w:t>
      </w:r>
    </w:p>
    <w:p w14:paraId="10C754F8"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Textul de lege, respectiv art. 153</w:t>
      </w:r>
      <w:r w:rsidRPr="00250C7F">
        <w:rPr>
          <w:rFonts w:ascii="Times New Roman" w:hAnsi="Times New Roman"/>
          <w:sz w:val="24"/>
          <w:szCs w:val="24"/>
          <w:vertAlign w:val="superscript"/>
        </w:rPr>
        <w:t>18</w:t>
      </w:r>
      <w:r w:rsidRPr="00250C7F">
        <w:rPr>
          <w:rFonts w:ascii="Times New Roman" w:hAnsi="Times New Roman"/>
          <w:sz w:val="24"/>
          <w:szCs w:val="24"/>
        </w:rPr>
        <w:t xml:space="preserve"> din Legea nr. 31/1990 nu interzice acordarea unor remunerații suplimentare pentru exercitarea unor funcții specifice în cadrul organului de conducere sau supraveghere, ci stabilește exigențele legale pentru acordarea acestora, în speță aprobarea acestor indemnizații suplimentare prin hotărâre AGOA.</w:t>
      </w:r>
    </w:p>
    <w:p w14:paraId="4A13749A"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 xml:space="preserve">Reclamanta a semnat contractul de mandat prin reprezentantul său legal, astfel încât lipsa aprobării AGOA pentru acordarea acestei remunerații (aceasta fiind singura cauză de nulitate </w:t>
      </w:r>
      <w:r w:rsidRPr="00250C7F">
        <w:rPr>
          <w:rFonts w:ascii="Times New Roman" w:hAnsi="Times New Roman"/>
          <w:sz w:val="24"/>
          <w:szCs w:val="24"/>
        </w:rPr>
        <w:lastRenderedPageBreak/>
        <w:t>invocată) nu poate atrage nulitatea absolută a contractului încheiat, fiind în realitate, o situație de depășire a mandatului de către reprezentantul legal, care poate fi opusă cocontractantului.</w:t>
      </w:r>
    </w:p>
    <w:p w14:paraId="676D0EDC"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Potrivit dispozițiilor art. 92 alin. (2) din Legea nr. 31/1990, „Clauzele actului constitutiv ori hotărârile organelor statutare ale societăților prevăzute în alineatul precedent, care limitează puterile conferite de lege acestor organe, sunt inopozabile terților, chiar dacă au fost publicate”.</w:t>
      </w:r>
    </w:p>
    <w:p w14:paraId="5DE002BC"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Reprezentantul legal al reclamantei, cu depășirea limitelor puterilor acordate, respectiv fără acordul AGOA, a acordat intimatei-pârâte o indemnizație suplimentară, indemnizație care nu este interzisă de lege. În mod temeinic s-a reținut că interesul urmărit nu este unul general, câtă vreme legea permite reclamantei să aprecieze asupra oportunității acordării acestor indemnizații raportat la „situația economică a societății”, de unde rezultă că în discuție este profitul societății și nu un interes general. Chiar dacă parte din acest profit ar reveni statului, ca acționar majoritar al societății, nu se poate pune semnul egalității între interesul general - prin statul român și interesul societății, la care statul este acționar, în obținerea unui profit mai mare.</w:t>
      </w:r>
    </w:p>
    <w:p w14:paraId="75D5C6F4"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Instanța de fond a reținut în mod corect faptul că reclamanta își invocă propria culpă (ea fiind cea care a convenit clauza contractuală fără a avea acordul adunării generale a acționarilor) și că nu poate fi primită cererea de constatare a nulității contractului formulată de partea în culpă față de cocontractantul care nu a cunoscut această cauză.</w:t>
      </w:r>
    </w:p>
    <w:p w14:paraId="253E649F" w14:textId="66833A92" w:rsidR="003C168C" w:rsidRPr="00250C7F" w:rsidRDefault="003C168C" w:rsidP="003C168C">
      <w:pPr>
        <w:pStyle w:val="ListParagraph"/>
        <w:numPr>
          <w:ilvl w:val="0"/>
          <w:numId w:val="40"/>
        </w:numPr>
        <w:spacing w:line="276" w:lineRule="auto"/>
        <w:jc w:val="both"/>
        <w:rPr>
          <w:rFonts w:ascii="Times New Roman" w:hAnsi="Times New Roman"/>
          <w:i/>
          <w:sz w:val="24"/>
          <w:szCs w:val="24"/>
        </w:rPr>
      </w:pPr>
      <w:r w:rsidRPr="00250C7F">
        <w:rPr>
          <w:rFonts w:ascii="Times New Roman" w:hAnsi="Times New Roman"/>
          <w:i/>
          <w:sz w:val="24"/>
          <w:szCs w:val="24"/>
        </w:rPr>
        <w:t>Calea de atac împotriva deciziei instanței de apel</w:t>
      </w:r>
    </w:p>
    <w:p w14:paraId="65A6E37A"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 xml:space="preserve">  </w:t>
      </w:r>
      <w:r w:rsidRPr="00250C7F">
        <w:rPr>
          <w:rFonts w:ascii="Times New Roman" w:hAnsi="Times New Roman"/>
          <w:sz w:val="24"/>
          <w:szCs w:val="24"/>
        </w:rPr>
        <w:tab/>
        <w:t>Împotriva deciziei pronunțate de Curtea de Apel Constanța a declarat recurs reclamanta Compania Națională A. SA Constanța, criticând-o sub următoarele motive de nelegalitate.</w:t>
      </w:r>
    </w:p>
    <w:p w14:paraId="4E71B69B"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În cauză sunt întrunite cerințele art. 488 alin. 1 pct. 8 C. proc. civ., hotărârea fiind dată cu încălcarea dispozițiilor art. 1.246 C. civ., potrivit cărora: „Orice contract încheiat cu încălcarea condițiilor cerute de lege pentru încheierea sa valabilă este supus nulității, dacă prin lege nu se prevede o altă sancțiune”.</w:t>
      </w:r>
    </w:p>
    <w:p w14:paraId="7B7738BD"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În contractul de mandat nr. 3 din 4 februarie 2013 a fost inserat art. 4.3 prin care se stabilește o indemnizație suplimentară administratorului, fără aprobarea Adunării Generale a Acționarilor CN A. și deci în afara cadrului legal. Sancțiunea nulității absolute operează în privința efectelor contractului care contravin legii, astfel că recurenta susține că art. 4.3 este lovit de nulitate absolută, fiind încheiat cu încălcarea condițiilor cerute de lege pentru încheierea sa valabilă, astfel cum prevede art. 1246 C. civ.</w:t>
      </w:r>
    </w:p>
    <w:p w14:paraId="27C8A219"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În decizia nr. 2214 din 13 iunie 2017 pronunțată de Înalta Curte de Casație și Justiție, Secția de contencios administrativ și fiscal, s-a reținut că indemnizația suplimentară prevăzută la art. 4.3 din contractul de mandat „a fost acordată în lipsa unei hotărâri de aprobare emise de adunarea generală a acționarilor (AGA) societății comerciale recurente, condiție impusă expres de dispozițiile art. 153</w:t>
      </w:r>
      <w:r w:rsidRPr="00250C7F">
        <w:rPr>
          <w:rFonts w:ascii="Times New Roman" w:hAnsi="Times New Roman"/>
          <w:sz w:val="24"/>
          <w:szCs w:val="24"/>
          <w:vertAlign w:val="superscript"/>
        </w:rPr>
        <w:t>18</w:t>
      </w:r>
      <w:r w:rsidRPr="00250C7F">
        <w:rPr>
          <w:rFonts w:ascii="Times New Roman" w:hAnsi="Times New Roman"/>
          <w:sz w:val="24"/>
          <w:szCs w:val="24"/>
        </w:rPr>
        <w:t xml:space="preserve"> din Legea nr. 31/1990 și art. 37 alin. 1 din O.U.G. nr. 109/2011, precum și de prevederile art. 18 pct. 42 din statutul recurentei”.</w:t>
      </w:r>
    </w:p>
    <w:p w14:paraId="56FF613D"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În cauză au fost încălcate dispozițiile art. 1247 alin. 2 C. civ., potrivit cărora: „Nulitatea absolută poate fi invocată de orice persoană interesată, pe cale de acțiune sau de excepție”.</w:t>
      </w:r>
    </w:p>
    <w:p w14:paraId="1E4237EE"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Art. 1247 alin. 2 C. civ. stabilește o unică condiție pentru invocarea nulității absolute și anume cea a interesului personal, nu și condiția neinvocării propriei culpe, astfel cum a reținut instanța de apel.</w:t>
      </w:r>
    </w:p>
    <w:p w14:paraId="6D6865F9"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Recurenta susține că interesul său rezultă din calitatea de parte în contractul de mandat nr. 3 din 4 februarie 2013.</w:t>
      </w:r>
    </w:p>
    <w:p w14:paraId="591CEA5B"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Se solicită admiterea recursului și casarea deciziei recurate.</w:t>
      </w:r>
    </w:p>
    <w:p w14:paraId="45578A49" w14:textId="348FAFD2" w:rsidR="003C168C" w:rsidRPr="00250C7F" w:rsidRDefault="003C168C" w:rsidP="003C168C">
      <w:pPr>
        <w:spacing w:after="0" w:line="276" w:lineRule="auto"/>
        <w:jc w:val="both"/>
        <w:rPr>
          <w:rFonts w:ascii="Times New Roman" w:hAnsi="Times New Roman"/>
          <w:i/>
          <w:sz w:val="24"/>
          <w:szCs w:val="24"/>
        </w:rPr>
      </w:pPr>
      <w:r w:rsidRPr="00250C7F">
        <w:rPr>
          <w:rFonts w:ascii="Times New Roman" w:hAnsi="Times New Roman"/>
          <w:i/>
          <w:sz w:val="24"/>
          <w:szCs w:val="24"/>
        </w:rPr>
        <w:lastRenderedPageBreak/>
        <w:tab/>
        <w:t>G. Analizând recursul, prin prisma motivelor de nelegalitate invocate, Înalta Curte a apreciat criticile ca fiind neîntemeiate, iar recursul a fost respins pentru următoarele considerente:</w:t>
      </w:r>
    </w:p>
    <w:p w14:paraId="4A60FB92"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Recurenta invocă încălcarea dispozițiilor art. 1246 alin. 1 C. civ. și respectiv art. 1247 alin. 2 C. civ.</w:t>
      </w:r>
    </w:p>
    <w:p w14:paraId="059FDCD8"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În realitate, în cauză sunt aplicabile dispozițiile art. 153</w:t>
      </w:r>
      <w:r w:rsidRPr="00250C7F">
        <w:rPr>
          <w:rFonts w:ascii="Times New Roman" w:hAnsi="Times New Roman"/>
          <w:sz w:val="24"/>
          <w:szCs w:val="24"/>
          <w:vertAlign w:val="superscript"/>
        </w:rPr>
        <w:t>18</w:t>
      </w:r>
      <w:r w:rsidRPr="00250C7F">
        <w:rPr>
          <w:rFonts w:ascii="Times New Roman" w:hAnsi="Times New Roman"/>
          <w:sz w:val="24"/>
          <w:szCs w:val="24"/>
        </w:rPr>
        <w:t xml:space="preserve"> din Legea nr. 31/1990 și art. 37 alin. 1 din O.U.G. nr. 109/2011 care prevăd faptul că remunerația suplimentară a membrilor consiliului de administrație este stabilită de consiliul de administrație și se acordă în baza unei hotărâri de aprobare emise de adunarea generală a acționarilor societății comerciale, această condiție fiind impusă expres.</w:t>
      </w:r>
    </w:p>
    <w:p w14:paraId="60E804E9"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Dispozițiile Legii nr. 31/1990 și respectiv O.U.G. nr. 109/2011 reprezintă legea specială față de dispozițiile Codului civil, care este legea generală.</w:t>
      </w:r>
    </w:p>
    <w:p w14:paraId="4011528F"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r>
      <w:r w:rsidRPr="00250C7F">
        <w:rPr>
          <w:rFonts w:ascii="Times New Roman" w:hAnsi="Times New Roman"/>
          <w:i/>
          <w:sz w:val="24"/>
          <w:szCs w:val="24"/>
        </w:rPr>
        <w:t>Specialia generalibus derogant</w:t>
      </w:r>
      <w:r w:rsidRPr="00250C7F">
        <w:rPr>
          <w:rFonts w:ascii="Times New Roman" w:hAnsi="Times New Roman"/>
          <w:sz w:val="24"/>
          <w:szCs w:val="24"/>
        </w:rPr>
        <w:t xml:space="preserve"> este principiul juridic potrivit căruia norma specială este cea care derogă de la norma generală. Fiind derogatorie de la norma generală, rezultă că norma specială se aplică ori de câte ori ne găsim în fața unui caz ce intră sub incidența prevederilor sale.</w:t>
      </w:r>
    </w:p>
    <w:p w14:paraId="739911B6"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Art. 153</w:t>
      </w:r>
      <w:r w:rsidRPr="00250C7F">
        <w:rPr>
          <w:rFonts w:ascii="Times New Roman" w:hAnsi="Times New Roman"/>
          <w:sz w:val="24"/>
          <w:szCs w:val="24"/>
          <w:vertAlign w:val="superscript"/>
        </w:rPr>
        <w:t>18</w:t>
      </w:r>
      <w:r w:rsidRPr="00250C7F">
        <w:rPr>
          <w:rFonts w:ascii="Times New Roman" w:hAnsi="Times New Roman"/>
          <w:sz w:val="24"/>
          <w:szCs w:val="24"/>
        </w:rPr>
        <w:t xml:space="preserve"> din Legea nr. 31/1990 și art. 37 alin. 1 din O.U.G. nr. 109/2011 nu prevăd sancțiunea nulității absolute pentru nerespectarea dispozițiilor privind acordarea unei indemnizații suplimentare prin hotărârea adunării AGA.</w:t>
      </w:r>
    </w:p>
    <w:p w14:paraId="5249642F"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Legea nu interzice acordarea unei indemnizații suplimentare, ci instituie cerința de a fi aprobată prin hotărâre AGA.</w:t>
      </w:r>
    </w:p>
    <w:p w14:paraId="64953CA8"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Recurenta solicită a se constata nulitatea absolută a unei dispoziții contractuale edictate cu încălcarea legii, însă încalcă principiul „</w:t>
      </w:r>
      <w:r w:rsidRPr="00250C7F">
        <w:rPr>
          <w:rFonts w:ascii="Times New Roman" w:hAnsi="Times New Roman"/>
          <w:i/>
          <w:sz w:val="24"/>
          <w:szCs w:val="24"/>
        </w:rPr>
        <w:t>nemo auditur propriam turpitudinem allegans</w:t>
      </w:r>
      <w:r w:rsidRPr="00250C7F">
        <w:rPr>
          <w:rFonts w:ascii="Times New Roman" w:hAnsi="Times New Roman"/>
          <w:sz w:val="24"/>
          <w:szCs w:val="24"/>
        </w:rPr>
        <w:t>”.</w:t>
      </w:r>
    </w:p>
    <w:p w14:paraId="4C44F437"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Astfel, reprezentantul legal al reclamantei-recurente, cu depășirea limitelor puterilor acordate, respectiv fără acordul AGOA, a stabilit prin contractul încheiat cu intimata-pârâtă acordarea unei indemnizații suplimentare acesteia din urmă, indemnizație care nu este interzisă de lege.</w:t>
      </w:r>
    </w:p>
    <w:p w14:paraId="0C59AD23"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În realitate, intenția recurentei este de a recupera prejudiciul reprezentat de indemnizațiile suplimentare pentru a respecta decizia organului de control.</w:t>
      </w:r>
    </w:p>
    <w:p w14:paraId="6753D24F"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Clauza contractuală prin care s-a stabilit indemnizația suplimentară fără o hotărâre AGA a încălcat dispozițiile legii speciale anterior arătate.</w:t>
      </w:r>
    </w:p>
    <w:p w14:paraId="15B7FC31" w14:textId="77777777" w:rsidR="003C168C" w:rsidRPr="00250C7F" w:rsidRDefault="003C168C" w:rsidP="003C168C">
      <w:pPr>
        <w:spacing w:after="0" w:line="276" w:lineRule="auto"/>
        <w:jc w:val="both"/>
        <w:rPr>
          <w:rFonts w:ascii="Times New Roman" w:hAnsi="Times New Roman"/>
          <w:sz w:val="24"/>
          <w:szCs w:val="24"/>
        </w:rPr>
      </w:pPr>
      <w:r w:rsidRPr="00250C7F">
        <w:rPr>
          <w:rFonts w:ascii="Times New Roman" w:hAnsi="Times New Roman"/>
          <w:sz w:val="24"/>
          <w:szCs w:val="24"/>
        </w:rPr>
        <w:tab/>
        <w:t>Aceste dispoziții nu prevăd sancțiunea nulității absolute, iar pe de altă parte nu rezultă neîndoielnic faptul că interesul ocrotit este unul general.</w:t>
      </w:r>
    </w:p>
    <w:p w14:paraId="4E528EF5" w14:textId="77777777" w:rsidR="003C168C" w:rsidRPr="00250C7F" w:rsidRDefault="003C168C" w:rsidP="003C168C">
      <w:pPr>
        <w:spacing w:after="0" w:line="276" w:lineRule="auto"/>
        <w:jc w:val="both"/>
        <w:rPr>
          <w:rFonts w:ascii="Times New Roman" w:hAnsi="Times New Roman"/>
          <w:sz w:val="24"/>
          <w:szCs w:val="28"/>
        </w:rPr>
      </w:pPr>
      <w:r w:rsidRPr="00250C7F">
        <w:rPr>
          <w:rFonts w:ascii="Times New Roman" w:hAnsi="Times New Roman"/>
          <w:sz w:val="24"/>
          <w:szCs w:val="28"/>
        </w:rPr>
        <w:tab/>
        <w:t>Potrivit dispozițiilor art. 72 din Legea nr. 31/1990: „Obligațiile și răspunderea administratorilor sunt reglementate de dispozițiile referitoare la mandat și de cele special prevăzute în această lege”.</w:t>
      </w:r>
    </w:p>
    <w:p w14:paraId="50433ED2" w14:textId="77777777" w:rsidR="003C168C" w:rsidRPr="00250C7F" w:rsidRDefault="003C168C" w:rsidP="003C168C">
      <w:pPr>
        <w:spacing w:after="0" w:line="276" w:lineRule="auto"/>
        <w:jc w:val="both"/>
        <w:rPr>
          <w:rFonts w:ascii="Times New Roman" w:hAnsi="Times New Roman"/>
          <w:sz w:val="24"/>
          <w:szCs w:val="28"/>
        </w:rPr>
      </w:pPr>
      <w:r w:rsidRPr="00250C7F">
        <w:rPr>
          <w:rFonts w:ascii="Times New Roman" w:hAnsi="Times New Roman"/>
          <w:sz w:val="24"/>
          <w:szCs w:val="28"/>
        </w:rPr>
        <w:tab/>
        <w:t>Conform art. 55 din aceeași lege: „(1) În raporturile cu terții, societatea este angajată prin actele organelor sale, chiar dacă aceste acte depășesc obiectul de activitate al societății, în afară de cazul în care ea dovedește că terții cunoșteau sau, în împrejurările date, trebuiau să cunoască depășirea acestuia ori când actele astfel încheiate depășesc limitele puterilor prevăzute de lege pentru organele respective. Publicarea actului constitutiv nu poate constitui, singură, dovada cunoașterii.</w:t>
      </w:r>
    </w:p>
    <w:p w14:paraId="3ECDD4C2" w14:textId="77777777" w:rsidR="003C168C" w:rsidRPr="00250C7F" w:rsidRDefault="003C168C" w:rsidP="003C168C">
      <w:pPr>
        <w:spacing w:after="0" w:line="276" w:lineRule="auto"/>
        <w:jc w:val="both"/>
        <w:rPr>
          <w:rFonts w:ascii="Times New Roman" w:hAnsi="Times New Roman"/>
          <w:sz w:val="24"/>
          <w:szCs w:val="28"/>
        </w:rPr>
      </w:pPr>
      <w:r w:rsidRPr="00250C7F">
        <w:rPr>
          <w:rFonts w:ascii="Times New Roman" w:hAnsi="Times New Roman"/>
          <w:sz w:val="24"/>
          <w:szCs w:val="28"/>
        </w:rPr>
        <w:tab/>
        <w:t>(2) Clauzele actului constitutiv ori hotărârile organelor statutare ale societăților prevăzute în alineatul precedent, care limitează puterile conferite de lege acestor organe sunt inopozabile terților, chiar dacă au fost publicate”.</w:t>
      </w:r>
    </w:p>
    <w:p w14:paraId="7967E17A" w14:textId="77777777" w:rsidR="003C168C" w:rsidRPr="00250C7F" w:rsidRDefault="003C168C" w:rsidP="003C168C">
      <w:pPr>
        <w:spacing w:after="0" w:line="276" w:lineRule="auto"/>
        <w:jc w:val="both"/>
        <w:rPr>
          <w:rFonts w:ascii="Times New Roman" w:hAnsi="Times New Roman"/>
          <w:sz w:val="24"/>
          <w:szCs w:val="28"/>
        </w:rPr>
      </w:pPr>
      <w:r w:rsidRPr="00250C7F">
        <w:rPr>
          <w:rFonts w:ascii="Times New Roman" w:hAnsi="Times New Roman"/>
          <w:sz w:val="24"/>
          <w:szCs w:val="28"/>
        </w:rPr>
        <w:lastRenderedPageBreak/>
        <w:tab/>
        <w:t>Așa fiind, dispozițiile contractuale invocate nu sunt lovite de nulitate absolută. Având în vedere circumstanțele concrete ale cauzei, clauza contractuală prin care s-a stabilit indemnizația suplimentară fără o hotărâre AGA a încălcat dispozițiile legale din Legea nr. 31/1990, dar sancțiunea nu este nulitatea absolută, ci nulitatea relativă deoarece legea nu prevede sancțiunea nulității absolute și nici nu rezultă neîndoielnic faptul că interesul este unul general.</w:t>
      </w:r>
    </w:p>
    <w:p w14:paraId="2141FEB5" w14:textId="77777777" w:rsidR="003C168C" w:rsidRPr="00250C7F" w:rsidRDefault="003C168C" w:rsidP="003C168C">
      <w:pPr>
        <w:spacing w:after="0" w:line="276" w:lineRule="auto"/>
        <w:jc w:val="both"/>
        <w:rPr>
          <w:rFonts w:ascii="Times New Roman" w:hAnsi="Times New Roman"/>
          <w:sz w:val="24"/>
          <w:szCs w:val="28"/>
        </w:rPr>
      </w:pPr>
      <w:r w:rsidRPr="00250C7F">
        <w:rPr>
          <w:rFonts w:ascii="Times New Roman" w:hAnsi="Times New Roman"/>
          <w:sz w:val="24"/>
          <w:szCs w:val="28"/>
        </w:rPr>
        <w:tab/>
        <w:t>Față de aceste considerente, Înalta Curte a apreciat că în cauză nu sunt întrunite cerințele art. 488 alin. 1 pct. 8 C. proc. civ.</w:t>
      </w:r>
    </w:p>
    <w:p w14:paraId="7BD5231E" w14:textId="77777777" w:rsidR="003C168C" w:rsidRPr="00250C7F" w:rsidRDefault="003C168C" w:rsidP="003C168C">
      <w:pPr>
        <w:spacing w:after="0" w:line="276" w:lineRule="auto"/>
        <w:jc w:val="both"/>
        <w:rPr>
          <w:rFonts w:ascii="Times New Roman" w:hAnsi="Times New Roman"/>
          <w:sz w:val="24"/>
          <w:szCs w:val="28"/>
        </w:rPr>
      </w:pPr>
      <w:r w:rsidRPr="00250C7F">
        <w:rPr>
          <w:rFonts w:ascii="Times New Roman" w:hAnsi="Times New Roman"/>
          <w:sz w:val="24"/>
          <w:szCs w:val="28"/>
        </w:rPr>
        <w:tab/>
        <w:t>Pe cale de consecință, potrivit dispozițiilor art. 496 C. proc. civ., recursul a fost respins ca nefondat.</w:t>
      </w:r>
    </w:p>
    <w:p w14:paraId="254CA333" w14:textId="5226919E" w:rsidR="00FA2689" w:rsidRPr="00250C7F" w:rsidRDefault="003C168C" w:rsidP="005C0115">
      <w:pPr>
        <w:spacing w:after="0" w:line="276" w:lineRule="auto"/>
        <w:jc w:val="both"/>
        <w:rPr>
          <w:rFonts w:ascii="Times New Roman" w:hAnsi="Times New Roman"/>
          <w:sz w:val="24"/>
          <w:szCs w:val="28"/>
        </w:rPr>
      </w:pPr>
      <w:r w:rsidRPr="00250C7F">
        <w:rPr>
          <w:rFonts w:ascii="Times New Roman" w:hAnsi="Times New Roman"/>
          <w:sz w:val="24"/>
          <w:szCs w:val="28"/>
        </w:rPr>
        <w:tab/>
        <w:t>Față de dispozițiile art. 453 C. proc. civ., recurenta-reclamantă a fost obligată la plata cheltuielilor de judecată, către intimata-pârâtă, cheltuieli reprezentând onorariu de avocat.</w:t>
      </w:r>
      <w:r w:rsidR="00FA2689" w:rsidRPr="00250C7F">
        <w:rPr>
          <w:rFonts w:ascii="Times New Roman" w:hAnsi="Times New Roman"/>
          <w:sz w:val="24"/>
          <w:szCs w:val="28"/>
        </w:rPr>
        <w:t xml:space="preserve"> </w:t>
      </w:r>
    </w:p>
    <w:p w14:paraId="150FBCA7" w14:textId="77777777" w:rsidR="00B01906" w:rsidRPr="00250C7F" w:rsidRDefault="00B01906" w:rsidP="00FA2689">
      <w:pPr>
        <w:rPr>
          <w:rFonts w:ascii="Times New Roman" w:eastAsia="Times New Roman" w:hAnsi="Times New Roman" w:cs="Times New Roman"/>
          <w:b/>
          <w:i/>
          <w:sz w:val="24"/>
          <w:szCs w:val="24"/>
        </w:rPr>
      </w:pPr>
    </w:p>
    <w:p w14:paraId="42AD59AE" w14:textId="79E8A727" w:rsidR="00403506" w:rsidRPr="00250C7F" w:rsidRDefault="00403506" w:rsidP="00FA2689">
      <w:pPr>
        <w:pStyle w:val="Heading2"/>
        <w:jc w:val="center"/>
        <w:rPr>
          <w:rFonts w:ascii="Times New Roman" w:eastAsia="Times New Roman" w:hAnsi="Times New Roman" w:cs="Times New Roman"/>
          <w:b/>
          <w:i/>
          <w:color w:val="auto"/>
          <w:sz w:val="24"/>
          <w:szCs w:val="24"/>
        </w:rPr>
      </w:pPr>
      <w:bookmarkStart w:id="20" w:name="_Toc84584810"/>
      <w:r w:rsidRPr="00250C7F">
        <w:rPr>
          <w:rFonts w:ascii="Times New Roman" w:eastAsia="Times New Roman" w:hAnsi="Times New Roman" w:cs="Times New Roman"/>
          <w:b/>
          <w:i/>
          <w:color w:val="auto"/>
          <w:sz w:val="24"/>
          <w:szCs w:val="24"/>
        </w:rPr>
        <w:t xml:space="preserve">II. </w:t>
      </w:r>
      <w:r w:rsidR="00705AC3" w:rsidRPr="00250C7F">
        <w:rPr>
          <w:rFonts w:ascii="Times New Roman" w:eastAsia="Times New Roman" w:hAnsi="Times New Roman" w:cs="Times New Roman"/>
          <w:b/>
          <w:i/>
          <w:color w:val="auto"/>
          <w:sz w:val="24"/>
          <w:szCs w:val="24"/>
        </w:rPr>
        <w:t>Obligaţii</w:t>
      </w:r>
      <w:bookmarkEnd w:id="20"/>
    </w:p>
    <w:p w14:paraId="0F564127" w14:textId="77777777" w:rsidR="00403506" w:rsidRPr="00250C7F" w:rsidRDefault="00403506" w:rsidP="00891584">
      <w:pPr>
        <w:spacing w:line="276" w:lineRule="auto"/>
        <w:rPr>
          <w:b/>
          <w:i/>
        </w:rPr>
      </w:pPr>
    </w:p>
    <w:p w14:paraId="3306551E" w14:textId="67B074D5" w:rsidR="005A6429" w:rsidRPr="00250C7F" w:rsidRDefault="005A6429" w:rsidP="00346BA1">
      <w:pPr>
        <w:pStyle w:val="Heading3"/>
        <w:spacing w:before="0" w:line="276" w:lineRule="auto"/>
        <w:jc w:val="both"/>
        <w:rPr>
          <w:rFonts w:ascii="Times New Roman" w:hAnsi="Times New Roman" w:cs="Times New Roman"/>
          <w:b/>
          <w:color w:val="auto"/>
          <w:lang w:eastAsia="ro-RO"/>
        </w:rPr>
      </w:pPr>
      <w:bookmarkStart w:id="21" w:name="_Toc84584811"/>
      <w:r w:rsidRPr="00250C7F">
        <w:rPr>
          <w:rFonts w:ascii="Times New Roman" w:hAnsi="Times New Roman" w:cs="Times New Roman"/>
          <w:b/>
          <w:color w:val="auto"/>
          <w:lang w:eastAsia="ro-RO"/>
        </w:rPr>
        <w:t>2. Acțiune în pretenții. Daune-interese moratorii aferente unor penalități de întârziere. Anatocism. Condiții și efecte</w:t>
      </w:r>
      <w:bookmarkEnd w:id="21"/>
    </w:p>
    <w:p w14:paraId="777F0D2E" w14:textId="77777777" w:rsidR="00346BA1" w:rsidRPr="00250C7F" w:rsidRDefault="00346BA1" w:rsidP="00346BA1">
      <w:pPr>
        <w:rPr>
          <w:lang w:eastAsia="ro-RO"/>
        </w:rPr>
      </w:pPr>
    </w:p>
    <w:p w14:paraId="213E9B77" w14:textId="77777777" w:rsidR="005A6429" w:rsidRPr="00250C7F" w:rsidRDefault="005A6429" w:rsidP="005A6429">
      <w:pPr>
        <w:spacing w:after="0" w:line="276" w:lineRule="auto"/>
        <w:ind w:firstLine="720"/>
        <w:jc w:val="right"/>
        <w:rPr>
          <w:rFonts w:ascii="Times New Roman" w:hAnsi="Times New Roman" w:cs="Times New Roman"/>
          <w:sz w:val="24"/>
          <w:szCs w:val="24"/>
        </w:rPr>
      </w:pPr>
      <w:r w:rsidRPr="00250C7F">
        <w:rPr>
          <w:rFonts w:ascii="Times New Roman" w:hAnsi="Times New Roman" w:cs="Times New Roman"/>
          <w:sz w:val="24"/>
          <w:szCs w:val="24"/>
        </w:rPr>
        <w:t>C. civ., art. 1489 alin. (2), art. 1497, art. 1535 alin. (1), art. 2512, art. 2513</w:t>
      </w:r>
    </w:p>
    <w:p w14:paraId="79DEEE7B" w14:textId="57CD9E0C" w:rsidR="005A6429" w:rsidRPr="00250C7F" w:rsidRDefault="005A6429" w:rsidP="005A6429">
      <w:pPr>
        <w:spacing w:after="0" w:line="276" w:lineRule="auto"/>
        <w:ind w:firstLine="720"/>
        <w:jc w:val="right"/>
        <w:rPr>
          <w:rFonts w:ascii="Times New Roman" w:hAnsi="Times New Roman" w:cs="Times New Roman"/>
          <w:sz w:val="24"/>
          <w:szCs w:val="24"/>
        </w:rPr>
      </w:pPr>
      <w:r w:rsidRPr="00250C7F">
        <w:rPr>
          <w:rFonts w:ascii="Times New Roman" w:hAnsi="Times New Roman" w:cs="Times New Roman"/>
          <w:sz w:val="24"/>
          <w:szCs w:val="24"/>
        </w:rPr>
        <w:t>O.G. nr. 13/2011, art. 8 alin. (1) - (3)</w:t>
      </w:r>
    </w:p>
    <w:p w14:paraId="063514AB" w14:textId="77777777" w:rsidR="005A6429" w:rsidRPr="00250C7F" w:rsidRDefault="005A6429" w:rsidP="005A6429">
      <w:pPr>
        <w:spacing w:after="0" w:line="276" w:lineRule="auto"/>
        <w:ind w:firstLine="720"/>
        <w:jc w:val="right"/>
        <w:rPr>
          <w:rFonts w:ascii="Times New Roman" w:hAnsi="Times New Roman" w:cs="Times New Roman"/>
          <w:sz w:val="24"/>
          <w:szCs w:val="24"/>
        </w:rPr>
      </w:pPr>
    </w:p>
    <w:p w14:paraId="786FE51C" w14:textId="77777777" w:rsidR="005A6429" w:rsidRPr="00250C7F" w:rsidRDefault="005A6429" w:rsidP="005A6429">
      <w:pPr>
        <w:spacing w:after="0" w:line="276" w:lineRule="auto"/>
        <w:ind w:firstLine="720"/>
        <w:jc w:val="both"/>
        <w:rPr>
          <w:rFonts w:ascii="Times New Roman" w:hAnsi="Times New Roman" w:cs="Times New Roman"/>
          <w:i/>
          <w:sz w:val="24"/>
          <w:szCs w:val="24"/>
        </w:rPr>
      </w:pPr>
      <w:r w:rsidRPr="00250C7F">
        <w:rPr>
          <w:rFonts w:ascii="Times New Roman" w:hAnsi="Times New Roman" w:cs="Times New Roman"/>
          <w:i/>
          <w:sz w:val="24"/>
          <w:szCs w:val="24"/>
        </w:rPr>
        <w:t>În principiu, atât legea generală (Codul civil), cât și legea specială (O.G. nr. 13/2011) interzic anatocismul, de la această prohibiție existând doar excepțiile reglementate de art. 1489 alin. (2) C. civ. și de art. 8 alin. (2) și alin. (3) din O.G. nr. 13/2011.</w:t>
      </w:r>
    </w:p>
    <w:p w14:paraId="77B549E5" w14:textId="77777777" w:rsidR="005A6429" w:rsidRPr="00250C7F" w:rsidRDefault="005A6429" w:rsidP="005A6429">
      <w:pPr>
        <w:spacing w:after="0" w:line="276" w:lineRule="auto"/>
        <w:ind w:firstLine="720"/>
        <w:jc w:val="both"/>
        <w:rPr>
          <w:rFonts w:ascii="Times New Roman" w:hAnsi="Times New Roman" w:cs="Times New Roman"/>
          <w:i/>
          <w:sz w:val="24"/>
          <w:szCs w:val="24"/>
        </w:rPr>
      </w:pPr>
      <w:r w:rsidRPr="00250C7F">
        <w:rPr>
          <w:rFonts w:ascii="Times New Roman" w:hAnsi="Times New Roman" w:cs="Times New Roman"/>
          <w:i/>
          <w:sz w:val="24"/>
          <w:szCs w:val="24"/>
        </w:rPr>
        <w:t xml:space="preserve">Textul art. 1489 alin. (2) teza ultimă C. civ. permite ca dobânzile scadente să producă ele însele dobânzi, atunci când sunt cerute în instanță, însă, în acest caz noile dobânzi curg la dobânzile scadente numai de la data cererii de chemare în judecată. </w:t>
      </w:r>
    </w:p>
    <w:p w14:paraId="00E0D799" w14:textId="77777777" w:rsidR="005A6429" w:rsidRPr="00250C7F" w:rsidRDefault="005A6429" w:rsidP="005A6429">
      <w:pPr>
        <w:spacing w:after="0" w:line="276" w:lineRule="auto"/>
        <w:ind w:firstLine="720"/>
        <w:jc w:val="both"/>
        <w:rPr>
          <w:rFonts w:ascii="Times New Roman" w:hAnsi="Times New Roman" w:cs="Times New Roman"/>
          <w:i/>
          <w:sz w:val="24"/>
          <w:szCs w:val="24"/>
        </w:rPr>
      </w:pPr>
      <w:r w:rsidRPr="00250C7F">
        <w:rPr>
          <w:rFonts w:ascii="Times New Roman" w:hAnsi="Times New Roman" w:cs="Times New Roman"/>
          <w:i/>
          <w:sz w:val="24"/>
          <w:szCs w:val="24"/>
        </w:rPr>
        <w:t>În condiţiile în care instanțele de fond au fost învestite cu o cerere ce viza daune-interese moratorii (dobânda legală) aferente unor penalități de întârziere capitalizate, daune calculate pentru o perioadă anterioară înregistrării cererii de chemare în judecată, respectiv de la data plății debitului principal, numai prin greșita aplicare a prevederilor art. 1489 alin. (2) teza ultimă C. civ. instanţa de apel a putut considera că se află în vreunul din cazurile de excepție de la regula interzicerii anatocismului, de vreme ce nu a identificat niciuna din primele două modalități - sursă ale anatocismului, reglementate de art. 1489 alin. 2 C. civ. (legea sau contractul, în acest ultim caz, în limitele permise de lege).</w:t>
      </w:r>
    </w:p>
    <w:p w14:paraId="4CBBB05E" w14:textId="77777777" w:rsidR="005A6429" w:rsidRPr="00250C7F" w:rsidRDefault="005A6429" w:rsidP="005A6429">
      <w:pPr>
        <w:spacing w:after="0" w:line="276" w:lineRule="auto"/>
        <w:ind w:firstLine="720"/>
        <w:jc w:val="both"/>
        <w:rPr>
          <w:rFonts w:ascii="Times New Roman" w:hAnsi="Times New Roman" w:cs="Times New Roman"/>
          <w:b/>
          <w:i/>
          <w:sz w:val="24"/>
          <w:szCs w:val="24"/>
        </w:rPr>
      </w:pPr>
      <w:r w:rsidRPr="00250C7F">
        <w:rPr>
          <w:rFonts w:ascii="Times New Roman" w:hAnsi="Times New Roman" w:cs="Times New Roman"/>
          <w:b/>
          <w:i/>
          <w:sz w:val="24"/>
          <w:szCs w:val="24"/>
        </w:rPr>
        <w:t xml:space="preserve">  </w:t>
      </w:r>
      <w:r w:rsidRPr="00250C7F">
        <w:rPr>
          <w:rFonts w:ascii="Times New Roman" w:hAnsi="Times New Roman" w:cs="Times New Roman"/>
          <w:i/>
          <w:sz w:val="24"/>
          <w:szCs w:val="24"/>
        </w:rPr>
        <w:t>Prin urmare, în cazul în care prin hotărârea pronunțată instanța de apel a obligat pârâta și la plata dobânzii legale astfel cum s-a solicitat, respectiv de la data plății debitului principal până la data introducerii cererii de chemare în judecată, s-a făcut o greșită aplicare a normelor de drept material incidente, respectiv a prevederilor art. 1535 alin. (1) și art. 1489 alin. (2) C. civ., raportate la art. 8 alin. (1) și alin. (2) din O.G. nr. 13/2011.</w:t>
      </w:r>
      <w:r w:rsidRPr="00250C7F">
        <w:rPr>
          <w:rFonts w:ascii="Times New Roman" w:hAnsi="Times New Roman" w:cs="Times New Roman"/>
          <w:b/>
          <w:i/>
          <w:sz w:val="24"/>
          <w:szCs w:val="24"/>
        </w:rPr>
        <w:t xml:space="preserve">          </w:t>
      </w:r>
    </w:p>
    <w:p w14:paraId="5769F14C" w14:textId="77777777" w:rsidR="005A6429" w:rsidRPr="00250C7F" w:rsidRDefault="005A6429" w:rsidP="005A6429">
      <w:pPr>
        <w:spacing w:after="0" w:line="276" w:lineRule="auto"/>
        <w:ind w:firstLine="720"/>
        <w:jc w:val="both"/>
        <w:rPr>
          <w:rFonts w:ascii="Times New Roman" w:hAnsi="Times New Roman" w:cs="Times New Roman"/>
          <w:b/>
          <w:sz w:val="24"/>
          <w:szCs w:val="24"/>
        </w:rPr>
      </w:pPr>
      <w:r w:rsidRPr="00250C7F">
        <w:rPr>
          <w:rFonts w:ascii="Times New Roman" w:hAnsi="Times New Roman" w:cs="Times New Roman"/>
          <w:b/>
          <w:sz w:val="24"/>
          <w:szCs w:val="24"/>
        </w:rPr>
        <w:t xml:space="preserve">             </w:t>
      </w:r>
    </w:p>
    <w:p w14:paraId="165ACC2D" w14:textId="77777777" w:rsidR="005A6429" w:rsidRPr="00250C7F" w:rsidRDefault="005A6429" w:rsidP="005A6429">
      <w:pPr>
        <w:spacing w:after="0" w:line="276" w:lineRule="auto"/>
        <w:jc w:val="both"/>
        <w:rPr>
          <w:rFonts w:ascii="Times New Roman" w:hAnsi="Times New Roman" w:cs="Times New Roman"/>
          <w:sz w:val="24"/>
          <w:szCs w:val="24"/>
        </w:rPr>
      </w:pPr>
      <w:r w:rsidRPr="00250C7F">
        <w:rPr>
          <w:rFonts w:ascii="Times New Roman" w:hAnsi="Times New Roman" w:cs="Times New Roman"/>
          <w:sz w:val="24"/>
          <w:szCs w:val="24"/>
        </w:rPr>
        <w:t>Secția a II-a civilă, Decizia nr. 171 din 2 februarie 2021</w:t>
      </w:r>
    </w:p>
    <w:p w14:paraId="34578C7A" w14:textId="77777777" w:rsidR="005A6429" w:rsidRPr="00250C7F" w:rsidRDefault="005A6429" w:rsidP="005A6429">
      <w:pPr>
        <w:spacing w:after="0" w:line="276" w:lineRule="auto"/>
        <w:jc w:val="both"/>
        <w:rPr>
          <w:rFonts w:ascii="Times New Roman" w:hAnsi="Times New Roman" w:cs="Times New Roman"/>
          <w:sz w:val="24"/>
          <w:szCs w:val="24"/>
        </w:rPr>
      </w:pPr>
    </w:p>
    <w:p w14:paraId="1DB4EBA8"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lastRenderedPageBreak/>
        <w:t xml:space="preserve">Prin cererea </w:t>
      </w:r>
      <w:r w:rsidRPr="00250C7F">
        <w:rPr>
          <w:rFonts w:ascii="Times New Roman" w:hAnsi="Times New Roman" w:cs="Times New Roman"/>
          <w:spacing w:val="-1"/>
          <w:sz w:val="24"/>
          <w:szCs w:val="24"/>
          <w:lang w:eastAsia="ro-RO"/>
        </w:rPr>
        <w:t>înregistrată la 13 aprilie 2016 pe rolul Tribunalului Bucureşti,</w:t>
      </w:r>
      <w:r w:rsidRPr="00250C7F">
        <w:rPr>
          <w:rFonts w:ascii="Times New Roman" w:hAnsi="Times New Roman" w:cs="Times New Roman"/>
          <w:sz w:val="24"/>
          <w:szCs w:val="24"/>
          <w:lang w:eastAsia="ro-RO"/>
        </w:rPr>
        <w:t xml:space="preserve"> Secţia a VI-a civilă sub nr. x/3/2016, reclamanta A. S.A. a chemat-o în judecată pe pârâta B. S.A., solicitând obligarea acesteia la plata sumei de 1.138.131,81 lei, </w:t>
      </w:r>
      <w:r w:rsidRPr="00250C7F">
        <w:rPr>
          <w:rFonts w:ascii="Times New Roman" w:hAnsi="Times New Roman" w:cs="Times New Roman"/>
          <w:spacing w:val="-2"/>
          <w:sz w:val="24"/>
          <w:szCs w:val="24"/>
          <w:lang w:eastAsia="ro-RO"/>
        </w:rPr>
        <w:t xml:space="preserve">reprezentând penalităţi pentru plata cu întârziere a contravalorii </w:t>
      </w:r>
      <w:r w:rsidRPr="00250C7F">
        <w:rPr>
          <w:rFonts w:ascii="Times New Roman" w:hAnsi="Times New Roman" w:cs="Times New Roman"/>
          <w:sz w:val="24"/>
          <w:szCs w:val="24"/>
          <w:lang w:eastAsia="ro-RO"/>
        </w:rPr>
        <w:t xml:space="preserve">cărţilor de călătorie nominale în interesul serviciului şi a legitimaţiilor de călătorie pe căile ferate în interes de serviciu şi în interes personal, eliberate conform contractelor nr. OP 14/1/515/2013, nr. OP 14/1/514/2013, nr. </w:t>
      </w:r>
      <w:r w:rsidRPr="00250C7F">
        <w:rPr>
          <w:rFonts w:ascii="Times New Roman" w:hAnsi="Times New Roman" w:cs="Times New Roman"/>
          <w:spacing w:val="-3"/>
          <w:sz w:val="24"/>
          <w:szCs w:val="24"/>
          <w:lang w:eastAsia="ro-RO"/>
        </w:rPr>
        <w:t xml:space="preserve">OP 14/82/2013 şi nr. OP 14/83/2013. De asemenea, a solicitat obligarea pârâtei la </w:t>
      </w:r>
      <w:r w:rsidRPr="00250C7F">
        <w:rPr>
          <w:rFonts w:ascii="Times New Roman" w:hAnsi="Times New Roman" w:cs="Times New Roman"/>
          <w:sz w:val="24"/>
          <w:szCs w:val="24"/>
          <w:lang w:eastAsia="ro-RO"/>
        </w:rPr>
        <w:t>plata dobânzii legale, conform art. 1.535 C. civ., cu cheltuieli de judecată.</w:t>
      </w:r>
    </w:p>
    <w:p w14:paraId="40C13C83"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lang w:eastAsia="ro-RO"/>
        </w:rPr>
        <w:t>La 9 mai 2016, reclamanta şi-a precizat cererea cu privire la cuantumul dobânzii legale.</w:t>
      </w:r>
    </w:p>
    <w:p w14:paraId="503B3512"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lang w:eastAsia="ro-RO"/>
        </w:rPr>
        <w:t>În drept, cererea a fost întemeiată pe prevederile art. 194 şi urm. C. proc. civ. şi pe clauzele contractelor nr. OP 1</w:t>
      </w:r>
      <w:r w:rsidRPr="00250C7F">
        <w:rPr>
          <w:rFonts w:ascii="Times New Roman" w:hAnsi="Times New Roman" w:cs="Times New Roman"/>
          <w:bCs/>
          <w:sz w:val="24"/>
          <w:szCs w:val="24"/>
          <w:lang w:eastAsia="ro-RO"/>
        </w:rPr>
        <w:t>4/1/5</w:t>
      </w:r>
      <w:r w:rsidRPr="00250C7F">
        <w:rPr>
          <w:rFonts w:ascii="Times New Roman" w:hAnsi="Times New Roman" w:cs="Times New Roman"/>
          <w:sz w:val="24"/>
          <w:szCs w:val="24"/>
          <w:lang w:eastAsia="ro-RO"/>
        </w:rPr>
        <w:t>15/2013, nr. OP 14/1/514/2013, nr. OP 14/82/2013 şi nr. OP 14/83/2013.</w:t>
      </w:r>
    </w:p>
    <w:p w14:paraId="0A6FD852"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lang w:eastAsia="ro-RO"/>
        </w:rPr>
        <w:t xml:space="preserve">Prin sentinţa civilă nr. 1013 din 27 martie 2017, Tribunalul Bucureşti, </w:t>
      </w:r>
      <w:r w:rsidRPr="00250C7F">
        <w:rPr>
          <w:rFonts w:ascii="Times New Roman" w:hAnsi="Times New Roman" w:cs="Times New Roman"/>
          <w:spacing w:val="-1"/>
          <w:sz w:val="24"/>
          <w:szCs w:val="24"/>
          <w:lang w:eastAsia="ro-RO"/>
        </w:rPr>
        <w:t xml:space="preserve">Secţia a VI-a civilă, a admis în parte acţiunea şi a obligat-o pe pârâtă în favoarea </w:t>
      </w:r>
      <w:r w:rsidRPr="00250C7F">
        <w:rPr>
          <w:rFonts w:ascii="Times New Roman" w:hAnsi="Times New Roman" w:cs="Times New Roman"/>
          <w:sz w:val="24"/>
          <w:szCs w:val="24"/>
          <w:lang w:eastAsia="ro-RO"/>
        </w:rPr>
        <w:t xml:space="preserve">reclamantei la plata sumei de 1.138.131,81 lei, reprezentând penalităţi de întârziere şi a respins ca neîntemeiată cererea de obligare a pârâtei la plata dobânzii legale. Totodată, tribunalul a obligat-o pe pârâtă la plata către </w:t>
      </w:r>
      <w:r w:rsidRPr="00250C7F">
        <w:rPr>
          <w:rFonts w:ascii="Times New Roman" w:hAnsi="Times New Roman" w:cs="Times New Roman"/>
          <w:spacing w:val="-1"/>
          <w:sz w:val="24"/>
          <w:szCs w:val="24"/>
          <w:lang w:eastAsia="ro-RO"/>
        </w:rPr>
        <w:t>reclamantă a sumei de 14.986,31 lei, reprezentând cheltuieli de judecată.</w:t>
      </w:r>
    </w:p>
    <w:p w14:paraId="7FCA8106"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lang w:eastAsia="ro-RO"/>
        </w:rPr>
        <w:t>Împotriva acestei sentinţe au declarat apel atât reclamanta, cât şi pârâta, ambele criticând-o pentru netemeinicie şi nelegalitate.</w:t>
      </w:r>
    </w:p>
    <w:p w14:paraId="16C4CF13"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Prin decizia civilă nr. 2132/A din 5 decembrie 2017, Curtea de Apel</w:t>
      </w:r>
      <w:r w:rsidRPr="00250C7F">
        <w:rPr>
          <w:rFonts w:ascii="Times New Roman" w:hAnsi="Times New Roman" w:cs="Times New Roman"/>
          <w:sz w:val="24"/>
          <w:szCs w:val="24"/>
        </w:rPr>
        <w:br/>
        <w:t>Bucureşti, Secţia a V-a civilă, a respins ca nefondat apelul declarat de pârâtă şi</w:t>
      </w:r>
      <w:r w:rsidRPr="00250C7F">
        <w:rPr>
          <w:rFonts w:ascii="Times New Roman" w:hAnsi="Times New Roman" w:cs="Times New Roman"/>
          <w:sz w:val="24"/>
          <w:szCs w:val="24"/>
        </w:rPr>
        <w:br/>
        <w:t>a admis apelul reclamantei, cu consecinţa schimbării sentinţei atacate în sensul</w:t>
      </w:r>
      <w:r w:rsidRPr="00250C7F">
        <w:rPr>
          <w:rFonts w:ascii="Times New Roman" w:hAnsi="Times New Roman" w:cs="Times New Roman"/>
          <w:sz w:val="24"/>
          <w:szCs w:val="24"/>
        </w:rPr>
        <w:br/>
        <w:t>obligării pârâtei către reclamantă şi la plata sumei de 236.724,15 lei,</w:t>
      </w:r>
      <w:r w:rsidRPr="00250C7F">
        <w:rPr>
          <w:rFonts w:ascii="Times New Roman" w:hAnsi="Times New Roman" w:cs="Times New Roman"/>
          <w:sz w:val="24"/>
          <w:szCs w:val="24"/>
        </w:rPr>
        <w:br/>
        <w:t>reprezentând dobândă legală. Totodată, curtea a obligat-o pe intimata-pârâtă să</w:t>
      </w:r>
      <w:r w:rsidRPr="00250C7F">
        <w:rPr>
          <w:rFonts w:ascii="Times New Roman" w:hAnsi="Times New Roman" w:cs="Times New Roman"/>
          <w:sz w:val="24"/>
          <w:szCs w:val="24"/>
        </w:rPr>
        <w:br/>
      </w:r>
      <w:r w:rsidRPr="00250C7F">
        <w:rPr>
          <w:rFonts w:ascii="Times New Roman" w:hAnsi="Times New Roman" w:cs="Times New Roman"/>
          <w:spacing w:val="-1"/>
          <w:sz w:val="24"/>
          <w:szCs w:val="24"/>
        </w:rPr>
        <w:t>plătească apelantei-reclamante suma de 5.466,43 lei, reprezentând diferenţă de</w:t>
      </w:r>
      <w:r w:rsidRPr="00250C7F">
        <w:rPr>
          <w:rFonts w:ascii="Times New Roman" w:hAnsi="Times New Roman" w:cs="Times New Roman"/>
          <w:spacing w:val="-1"/>
          <w:sz w:val="24"/>
          <w:szCs w:val="24"/>
        </w:rPr>
        <w:br/>
      </w:r>
      <w:r w:rsidRPr="00250C7F">
        <w:rPr>
          <w:rFonts w:ascii="Times New Roman" w:hAnsi="Times New Roman" w:cs="Times New Roman"/>
          <w:spacing w:val="-2"/>
          <w:sz w:val="24"/>
          <w:szCs w:val="24"/>
        </w:rPr>
        <w:t>cheltuieli de judecată în primă instanţă (taxă de timbru) şi în apel.</w:t>
      </w:r>
    </w:p>
    <w:p w14:paraId="1748C42D"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 xml:space="preserve">Împotriva acestei decizii, în termen legal a declarat recurs pârâta </w:t>
      </w:r>
      <w:r w:rsidRPr="00250C7F">
        <w:rPr>
          <w:rFonts w:ascii="Times New Roman" w:hAnsi="Times New Roman" w:cs="Times New Roman"/>
          <w:sz w:val="24"/>
          <w:szCs w:val="24"/>
          <w:lang w:eastAsia="ro-RO"/>
        </w:rPr>
        <w:t>B. S.A.</w:t>
      </w:r>
      <w:r w:rsidRPr="00250C7F">
        <w:rPr>
          <w:rFonts w:ascii="Times New Roman" w:hAnsi="Times New Roman" w:cs="Times New Roman"/>
          <w:sz w:val="24"/>
          <w:szCs w:val="24"/>
        </w:rPr>
        <w:t>, înregistrat la data de 23 martie 2018 pe rolul Înaltei Curți de Casație și Justiție, Secția a II-a civilă.</w:t>
      </w:r>
    </w:p>
    <w:p w14:paraId="5D9AB5A2"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 xml:space="preserve">În memoriul </w:t>
      </w:r>
      <w:r w:rsidRPr="00250C7F">
        <w:rPr>
          <w:rFonts w:ascii="Times New Roman" w:hAnsi="Times New Roman" w:cs="Times New Roman"/>
          <w:sz w:val="24"/>
          <w:szCs w:val="24"/>
          <w:lang w:eastAsia="ro-RO"/>
        </w:rPr>
        <w:t xml:space="preserve">de recurs depus la dosar, pârâta a indicat cazul de casare prevăzut de art. 488 alin. (1) pct. 8 C. proc. civ., susţinând astfel că </w:t>
      </w:r>
      <w:r w:rsidRPr="00250C7F">
        <w:rPr>
          <w:rFonts w:ascii="Times New Roman" w:hAnsi="Times New Roman" w:cs="Times New Roman"/>
          <w:spacing w:val="-1"/>
          <w:sz w:val="24"/>
          <w:szCs w:val="24"/>
          <w:lang w:eastAsia="ro-RO"/>
        </w:rPr>
        <w:t xml:space="preserve">decizia atacată a fost dată cu încălcarea sau aplicarea greşită a normelor de drept </w:t>
      </w:r>
      <w:r w:rsidRPr="00250C7F">
        <w:rPr>
          <w:rFonts w:ascii="Times New Roman" w:hAnsi="Times New Roman" w:cs="Times New Roman"/>
          <w:sz w:val="24"/>
          <w:szCs w:val="24"/>
          <w:lang w:eastAsia="ro-RO"/>
        </w:rPr>
        <w:t>material.</w:t>
      </w:r>
    </w:p>
    <w:p w14:paraId="1336E60A"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lang w:eastAsia="ro-RO"/>
        </w:rPr>
        <w:t>Detaliind, autoarea demersului judiciar de faţă a dezvoltat critici, după cum urmează:</w:t>
      </w:r>
    </w:p>
    <w:p w14:paraId="3C23CD79"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pacing w:val="-3"/>
          <w:sz w:val="24"/>
          <w:szCs w:val="24"/>
          <w:lang w:eastAsia="ro-RO"/>
        </w:rPr>
        <w:t xml:space="preserve">I. </w:t>
      </w:r>
      <w:r w:rsidRPr="00250C7F">
        <w:rPr>
          <w:rFonts w:ascii="Times New Roman" w:hAnsi="Times New Roman" w:cs="Times New Roman"/>
          <w:sz w:val="24"/>
          <w:szCs w:val="24"/>
          <w:lang w:eastAsia="ro-RO"/>
        </w:rPr>
        <w:t>A susţinut că în mod greşit instanţele de fond au obligat-o la plata</w:t>
      </w:r>
      <w:r w:rsidRPr="00250C7F">
        <w:rPr>
          <w:rFonts w:ascii="Times New Roman" w:hAnsi="Times New Roman" w:cs="Times New Roman"/>
          <w:sz w:val="24"/>
          <w:szCs w:val="24"/>
          <w:lang w:eastAsia="ro-RO"/>
        </w:rPr>
        <w:br/>
      </w:r>
      <w:r w:rsidRPr="00250C7F">
        <w:rPr>
          <w:rFonts w:ascii="Times New Roman" w:hAnsi="Times New Roman" w:cs="Times New Roman"/>
          <w:spacing w:val="-4"/>
          <w:sz w:val="24"/>
          <w:szCs w:val="24"/>
          <w:lang w:eastAsia="ro-RO"/>
        </w:rPr>
        <w:t>penalităţilor de întârziere solicitate de reclamanta A. S.A.</w:t>
      </w:r>
    </w:p>
    <w:p w14:paraId="448E6B81"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Î</w:t>
      </w:r>
      <w:r w:rsidRPr="00250C7F">
        <w:rPr>
          <w:rFonts w:ascii="Times New Roman" w:hAnsi="Times New Roman" w:cs="Times New Roman"/>
          <w:spacing w:val="-3"/>
          <w:sz w:val="24"/>
          <w:szCs w:val="24"/>
          <w:lang w:eastAsia="ro-RO"/>
        </w:rPr>
        <w:t xml:space="preserve">n acest sens a arătat că greşeala instanţelor rezidă în ignorarea dovezilor pe </w:t>
      </w:r>
      <w:r w:rsidRPr="00250C7F">
        <w:rPr>
          <w:rFonts w:ascii="Times New Roman" w:hAnsi="Times New Roman" w:cs="Times New Roman"/>
          <w:spacing w:val="-2"/>
          <w:sz w:val="24"/>
          <w:szCs w:val="24"/>
          <w:lang w:eastAsia="ro-RO"/>
        </w:rPr>
        <w:t xml:space="preserve">care le-a făcut şi care atestă că pretinsele întârzieri la plată au fost generate de </w:t>
      </w:r>
      <w:r w:rsidRPr="00250C7F">
        <w:rPr>
          <w:rFonts w:ascii="Times New Roman" w:hAnsi="Times New Roman" w:cs="Times New Roman"/>
          <w:spacing w:val="-4"/>
          <w:sz w:val="24"/>
          <w:szCs w:val="24"/>
          <w:lang w:eastAsia="ro-RO"/>
        </w:rPr>
        <w:t xml:space="preserve">neconcordanţa dintre data la care au fost făcute plăţile şi data la care banii au intrat </w:t>
      </w:r>
      <w:r w:rsidRPr="00250C7F">
        <w:rPr>
          <w:rFonts w:ascii="Times New Roman" w:hAnsi="Times New Roman" w:cs="Times New Roman"/>
          <w:sz w:val="24"/>
          <w:szCs w:val="24"/>
          <w:lang w:eastAsia="ro-RO"/>
        </w:rPr>
        <w:t>efectiv în contul reclamantei.</w:t>
      </w:r>
    </w:p>
    <w:p w14:paraId="26BF17D2"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Î</w:t>
      </w:r>
      <w:r w:rsidRPr="00250C7F">
        <w:rPr>
          <w:rFonts w:ascii="Times New Roman" w:hAnsi="Times New Roman" w:cs="Times New Roman"/>
          <w:sz w:val="24"/>
          <w:szCs w:val="24"/>
          <w:lang w:eastAsia="ro-RO"/>
        </w:rPr>
        <w:t xml:space="preserve">n susţinerea aceleiaşi concluzii, potrivit căreia a fost în mod eronat </w:t>
      </w:r>
      <w:r w:rsidRPr="00250C7F">
        <w:rPr>
          <w:rFonts w:ascii="Times New Roman" w:hAnsi="Times New Roman" w:cs="Times New Roman"/>
          <w:spacing w:val="-3"/>
          <w:sz w:val="24"/>
          <w:szCs w:val="24"/>
          <w:lang w:eastAsia="ro-RO"/>
        </w:rPr>
        <w:t xml:space="preserve">obligată la plata penalităţilor de întârziere, recurenta a menţionat şi lipsa facturilor </w:t>
      </w:r>
      <w:r w:rsidRPr="00250C7F">
        <w:rPr>
          <w:rFonts w:ascii="Times New Roman" w:hAnsi="Times New Roman" w:cs="Times New Roman"/>
          <w:spacing w:val="-4"/>
          <w:sz w:val="24"/>
          <w:szCs w:val="24"/>
          <w:lang w:eastAsia="ro-RO"/>
        </w:rPr>
        <w:t xml:space="preserve">fiscale pentru sumele pretinse de reclamantă cu acest titlu şi neinterpretarea acestui </w:t>
      </w:r>
      <w:r w:rsidRPr="00250C7F">
        <w:rPr>
          <w:rFonts w:ascii="Times New Roman" w:hAnsi="Times New Roman" w:cs="Times New Roman"/>
          <w:spacing w:val="-3"/>
          <w:sz w:val="24"/>
          <w:szCs w:val="24"/>
          <w:lang w:eastAsia="ro-RO"/>
        </w:rPr>
        <w:t xml:space="preserve">fapt de către instanţe în sensul nedovedirii pretenţiilor, cu consecinţa respingerii </w:t>
      </w:r>
      <w:r w:rsidRPr="00250C7F">
        <w:rPr>
          <w:rFonts w:ascii="Times New Roman" w:hAnsi="Times New Roman" w:cs="Times New Roman"/>
          <w:sz w:val="24"/>
          <w:szCs w:val="24"/>
          <w:lang w:eastAsia="ro-RO"/>
        </w:rPr>
        <w:t>acţiunii.</w:t>
      </w:r>
    </w:p>
    <w:p w14:paraId="0C01929B"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lang w:eastAsia="ro-RO"/>
        </w:rPr>
        <w:t xml:space="preserve">II.Cea de-a doua critică dezvoltată de recurentă vizează </w:t>
      </w:r>
      <w:r w:rsidRPr="00250C7F">
        <w:rPr>
          <w:rFonts w:ascii="Times New Roman" w:hAnsi="Times New Roman" w:cs="Times New Roman"/>
          <w:sz w:val="24"/>
          <w:szCs w:val="24"/>
        </w:rPr>
        <w:t xml:space="preserve">respingerea </w:t>
      </w:r>
      <w:r w:rsidRPr="00250C7F">
        <w:rPr>
          <w:rFonts w:ascii="Times New Roman" w:hAnsi="Times New Roman" w:cs="Times New Roman"/>
          <w:sz w:val="24"/>
          <w:szCs w:val="24"/>
          <w:lang w:eastAsia="ro-RO"/>
        </w:rPr>
        <w:t>excepţiei prescripţiei dreptului material la acţiune de către instanţa de prim control judiciar, cu motivarea că nu a invocat această excepţie prin întâmpinare</w:t>
      </w:r>
      <w:r w:rsidRPr="00250C7F">
        <w:rPr>
          <w:rFonts w:ascii="Times New Roman" w:hAnsi="Times New Roman" w:cs="Times New Roman"/>
          <w:sz w:val="24"/>
          <w:szCs w:val="24"/>
        </w:rPr>
        <w:t xml:space="preserve"> </w:t>
      </w:r>
      <w:r w:rsidRPr="00250C7F">
        <w:rPr>
          <w:rFonts w:ascii="Times New Roman" w:hAnsi="Times New Roman" w:cs="Times New Roman"/>
          <w:spacing w:val="-1"/>
          <w:sz w:val="24"/>
          <w:szCs w:val="24"/>
          <w:lang w:eastAsia="ro-RO"/>
        </w:rPr>
        <w:t>în faţa primei instanţe, conform art. 2512 şi 2513 C. civ.</w:t>
      </w:r>
    </w:p>
    <w:p w14:paraId="33620A71"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lang w:eastAsia="ro-RO"/>
        </w:rPr>
        <w:lastRenderedPageBreak/>
        <w:t xml:space="preserve">În combaterea concluziei curţii, recurenta a evocat dispoziţiile art. 1 alin. </w:t>
      </w:r>
      <w:r w:rsidRPr="00250C7F">
        <w:rPr>
          <w:rFonts w:ascii="Times New Roman" w:hAnsi="Times New Roman" w:cs="Times New Roman"/>
          <w:spacing w:val="-3"/>
          <w:sz w:val="24"/>
          <w:szCs w:val="24"/>
          <w:lang w:eastAsia="ro-RO"/>
        </w:rPr>
        <w:t xml:space="preserve">(2) şi art. 18 din Decretul nr. 167/1958, subliniind caracterul imperativ, de ordine </w:t>
      </w:r>
      <w:r w:rsidRPr="00250C7F">
        <w:rPr>
          <w:rFonts w:ascii="Times New Roman" w:hAnsi="Times New Roman" w:cs="Times New Roman"/>
          <w:spacing w:val="-4"/>
          <w:sz w:val="24"/>
          <w:szCs w:val="24"/>
          <w:lang w:eastAsia="ro-RO"/>
        </w:rPr>
        <w:t xml:space="preserve">publică al reglementării prescripţiei extinctive din care decurge şi obligaţia expresă </w:t>
      </w:r>
      <w:r w:rsidRPr="00250C7F">
        <w:rPr>
          <w:rFonts w:ascii="Times New Roman" w:hAnsi="Times New Roman" w:cs="Times New Roman"/>
          <w:spacing w:val="-2"/>
          <w:sz w:val="24"/>
          <w:szCs w:val="24"/>
          <w:lang w:eastAsia="ro-RO"/>
        </w:rPr>
        <w:t xml:space="preserve">stabilită de legiuitor în sarcina instanţelor de judecată de a verifica din oficiu, în </w:t>
      </w:r>
      <w:r w:rsidRPr="00250C7F">
        <w:rPr>
          <w:rFonts w:ascii="Times New Roman" w:hAnsi="Times New Roman" w:cs="Times New Roman"/>
          <w:spacing w:val="-4"/>
          <w:sz w:val="24"/>
          <w:szCs w:val="24"/>
          <w:lang w:eastAsia="ro-RO"/>
        </w:rPr>
        <w:t>orice fază procesuală, dacă dreptul la acţiune sau la executare silită este prescris.</w:t>
      </w:r>
    </w:p>
    <w:p w14:paraId="53376B7D"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lang w:eastAsia="ro-RO"/>
        </w:rPr>
        <w:t xml:space="preserve">III. </w:t>
      </w:r>
      <w:r w:rsidRPr="00250C7F">
        <w:rPr>
          <w:rFonts w:ascii="Times New Roman" w:hAnsi="Times New Roman" w:cs="Times New Roman"/>
          <w:spacing w:val="-4"/>
          <w:sz w:val="24"/>
          <w:szCs w:val="24"/>
          <w:lang w:eastAsia="ro-RO"/>
        </w:rPr>
        <w:t>Ultima critică dezvoltată de autoarea demersului judiciar de faţă vizează</w:t>
      </w:r>
      <w:r w:rsidRPr="00250C7F">
        <w:rPr>
          <w:rFonts w:ascii="Times New Roman" w:hAnsi="Times New Roman" w:cs="Times New Roman"/>
          <w:spacing w:val="-4"/>
          <w:sz w:val="24"/>
          <w:szCs w:val="24"/>
          <w:lang w:eastAsia="ro-RO"/>
        </w:rPr>
        <w:br/>
      </w:r>
      <w:r w:rsidRPr="00250C7F">
        <w:rPr>
          <w:rFonts w:ascii="Times New Roman" w:hAnsi="Times New Roman" w:cs="Times New Roman"/>
          <w:spacing w:val="-2"/>
          <w:sz w:val="24"/>
          <w:szCs w:val="24"/>
          <w:lang w:eastAsia="ro-RO"/>
        </w:rPr>
        <w:t>soluţia instanţei de apel de a o obliga şi la plata dobânzii legale în cuantum de</w:t>
      </w:r>
      <w:r w:rsidRPr="00250C7F">
        <w:rPr>
          <w:rFonts w:ascii="Times New Roman" w:hAnsi="Times New Roman" w:cs="Times New Roman"/>
          <w:spacing w:val="-2"/>
          <w:sz w:val="24"/>
          <w:szCs w:val="24"/>
          <w:lang w:eastAsia="ro-RO"/>
        </w:rPr>
        <w:br/>
      </w:r>
      <w:r w:rsidRPr="00250C7F">
        <w:rPr>
          <w:rFonts w:ascii="Times New Roman" w:hAnsi="Times New Roman" w:cs="Times New Roman"/>
          <w:spacing w:val="-4"/>
          <w:sz w:val="24"/>
          <w:szCs w:val="24"/>
          <w:lang w:eastAsia="ro-RO"/>
        </w:rPr>
        <w:t>236.724,15 lei, solicitate de reclamanta A. S.A.</w:t>
      </w:r>
    </w:p>
    <w:p w14:paraId="10237D78"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pacing w:val="-4"/>
          <w:sz w:val="24"/>
          <w:szCs w:val="24"/>
          <w:lang w:eastAsia="ro-RO"/>
        </w:rPr>
        <w:t xml:space="preserve">Din această perspectivă, a arătat că în mod greşit curtea a reţinut incidenţa în </w:t>
      </w:r>
      <w:r w:rsidRPr="00250C7F">
        <w:rPr>
          <w:rFonts w:ascii="Times New Roman" w:hAnsi="Times New Roman" w:cs="Times New Roman"/>
          <w:spacing w:val="-3"/>
          <w:sz w:val="24"/>
          <w:szCs w:val="24"/>
          <w:lang w:eastAsia="ro-RO"/>
        </w:rPr>
        <w:t xml:space="preserve">cauză a art. 1489 alin. (2) teza a II-a C. civ., şi a notat că aceasta a fost calculată </w:t>
      </w:r>
      <w:r w:rsidRPr="00250C7F">
        <w:rPr>
          <w:rFonts w:ascii="Times New Roman" w:hAnsi="Times New Roman" w:cs="Times New Roman"/>
          <w:spacing w:val="-2"/>
          <w:sz w:val="24"/>
          <w:szCs w:val="24"/>
          <w:lang w:eastAsia="ro-RO"/>
        </w:rPr>
        <w:t xml:space="preserve">conform art. 1535 C. civ. de la data imediat următoare celei în care s-au achitat facturile şi până la 13 aprilie 2016, data introducerii cererii de chemare în </w:t>
      </w:r>
      <w:r w:rsidRPr="00250C7F">
        <w:rPr>
          <w:rFonts w:ascii="Times New Roman" w:hAnsi="Times New Roman" w:cs="Times New Roman"/>
          <w:sz w:val="24"/>
          <w:szCs w:val="24"/>
          <w:lang w:eastAsia="ro-RO"/>
        </w:rPr>
        <w:t>judecată.</w:t>
      </w:r>
    </w:p>
    <w:p w14:paraId="3C911D04"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Î</w:t>
      </w:r>
      <w:r w:rsidRPr="00250C7F">
        <w:rPr>
          <w:rFonts w:ascii="Times New Roman" w:hAnsi="Times New Roman" w:cs="Times New Roman"/>
          <w:sz w:val="24"/>
          <w:szCs w:val="24"/>
          <w:lang w:eastAsia="ro-RO"/>
        </w:rPr>
        <w:t>n continuare, a susţinut că reclamanta a solicitat atât penalităţile de</w:t>
      </w:r>
      <w:r w:rsidRPr="00250C7F">
        <w:rPr>
          <w:rFonts w:ascii="Times New Roman" w:hAnsi="Times New Roman" w:cs="Times New Roman"/>
          <w:sz w:val="24"/>
          <w:szCs w:val="24"/>
          <w:vertAlign w:val="superscript"/>
          <w:lang w:eastAsia="ro-RO"/>
        </w:rPr>
        <w:t xml:space="preserve"> </w:t>
      </w:r>
      <w:r w:rsidRPr="00250C7F">
        <w:rPr>
          <w:rFonts w:ascii="Times New Roman" w:hAnsi="Times New Roman" w:cs="Times New Roman"/>
          <w:spacing w:val="-2"/>
          <w:sz w:val="24"/>
          <w:szCs w:val="24"/>
          <w:lang w:eastAsia="ro-RO"/>
        </w:rPr>
        <w:t xml:space="preserve">întârziere, cât şi dobânzi de întârziere, ceea ce nu este admisibil, aşa cum corect a </w:t>
      </w:r>
      <w:r w:rsidRPr="00250C7F">
        <w:rPr>
          <w:rFonts w:ascii="Times New Roman" w:hAnsi="Times New Roman" w:cs="Times New Roman"/>
          <w:spacing w:val="-4"/>
          <w:sz w:val="24"/>
          <w:szCs w:val="24"/>
          <w:lang w:eastAsia="ro-RO"/>
        </w:rPr>
        <w:t xml:space="preserve">reţinut prima instanţă, coroborând dispoziţiile art. 1489 C. civ. cu art. 8 din O.G. </w:t>
      </w:r>
      <w:r w:rsidRPr="00250C7F">
        <w:rPr>
          <w:rFonts w:ascii="Times New Roman" w:hAnsi="Times New Roman" w:cs="Times New Roman"/>
          <w:spacing w:val="-2"/>
          <w:sz w:val="24"/>
          <w:szCs w:val="24"/>
          <w:lang w:eastAsia="ro-RO"/>
        </w:rPr>
        <w:t xml:space="preserve">nr. 13/2011 şi conchizând că penalităţile, fiind ele însele dobânzi moratorii, pot fi </w:t>
      </w:r>
      <w:r w:rsidRPr="00250C7F">
        <w:rPr>
          <w:rFonts w:ascii="Times New Roman" w:hAnsi="Times New Roman" w:cs="Times New Roman"/>
          <w:spacing w:val="-3"/>
          <w:sz w:val="24"/>
          <w:szCs w:val="24"/>
          <w:lang w:eastAsia="ro-RO"/>
        </w:rPr>
        <w:t xml:space="preserve">purtătoare de dobânzi numai în temeiul unei convenţii speciale încheiate în acest </w:t>
      </w:r>
      <w:r w:rsidRPr="00250C7F">
        <w:rPr>
          <w:rFonts w:ascii="Times New Roman" w:hAnsi="Times New Roman" w:cs="Times New Roman"/>
          <w:sz w:val="24"/>
          <w:szCs w:val="24"/>
          <w:lang w:eastAsia="ro-RO"/>
        </w:rPr>
        <w:t>sens, ipoteză care nu se regăseşte în speţă.</w:t>
      </w:r>
    </w:p>
    <w:p w14:paraId="2612F3AD"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pacing w:val="-3"/>
          <w:sz w:val="24"/>
          <w:szCs w:val="24"/>
          <w:lang w:eastAsia="ro-RO"/>
        </w:rPr>
        <w:t xml:space="preserve">A mai precizat că norma prevede că numai dobânzile remuneratorii se pot </w:t>
      </w:r>
      <w:r w:rsidRPr="00250C7F">
        <w:rPr>
          <w:rFonts w:ascii="Times New Roman" w:hAnsi="Times New Roman" w:cs="Times New Roman"/>
          <w:spacing w:val="-4"/>
          <w:sz w:val="24"/>
          <w:szCs w:val="24"/>
          <w:lang w:eastAsia="ro-RO"/>
        </w:rPr>
        <w:t>capitaliza şi pot produce dobânzi, fără nicio condiţie impusă de lege.</w:t>
      </w:r>
    </w:p>
    <w:p w14:paraId="401B09CA"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Î</w:t>
      </w:r>
      <w:r w:rsidRPr="00250C7F">
        <w:rPr>
          <w:rFonts w:ascii="Times New Roman" w:hAnsi="Times New Roman" w:cs="Times New Roman"/>
          <w:sz w:val="24"/>
          <w:szCs w:val="24"/>
          <w:lang w:eastAsia="ro-RO"/>
        </w:rPr>
        <w:t xml:space="preserve">n considerarea celor anterior expuse, recurenta-pârâtă a solicitat casarea </w:t>
      </w:r>
      <w:r w:rsidRPr="00250C7F">
        <w:rPr>
          <w:rFonts w:ascii="Times New Roman" w:hAnsi="Times New Roman" w:cs="Times New Roman"/>
          <w:spacing w:val="-1"/>
          <w:sz w:val="24"/>
          <w:szCs w:val="24"/>
          <w:lang w:eastAsia="ro-RO"/>
        </w:rPr>
        <w:t>deciziei atacate şi trimiterea cauzei spre o nouă judecată primei instanţe</w:t>
      </w:r>
      <w:r w:rsidRPr="00250C7F">
        <w:rPr>
          <w:rFonts w:ascii="Times New Roman" w:hAnsi="Times New Roman" w:cs="Times New Roman"/>
          <w:sz w:val="24"/>
          <w:szCs w:val="24"/>
        </w:rPr>
        <w:t>.</w:t>
      </w:r>
    </w:p>
    <w:p w14:paraId="68537155" w14:textId="77777777" w:rsidR="005A6429" w:rsidRPr="00250C7F" w:rsidRDefault="005A6429" w:rsidP="005A6429">
      <w:pPr>
        <w:widowControl w:val="0"/>
        <w:shd w:val="clear" w:color="auto" w:fill="FFFFFF"/>
        <w:autoSpaceDE w:val="0"/>
        <w:autoSpaceDN w:val="0"/>
        <w:adjustRightInd w:val="0"/>
        <w:spacing w:after="0" w:line="276" w:lineRule="auto"/>
        <w:ind w:right="115" w:firstLine="720"/>
        <w:jc w:val="both"/>
        <w:rPr>
          <w:rFonts w:ascii="Times New Roman" w:hAnsi="Times New Roman" w:cs="Times New Roman"/>
          <w:sz w:val="24"/>
          <w:szCs w:val="24"/>
          <w:lang w:eastAsia="ro-RO"/>
        </w:rPr>
      </w:pPr>
      <w:r w:rsidRPr="00250C7F">
        <w:rPr>
          <w:rFonts w:ascii="Times New Roman" w:hAnsi="Times New Roman" w:cs="Times New Roman"/>
          <w:sz w:val="24"/>
          <w:szCs w:val="24"/>
          <w:lang w:eastAsia="ro-RO"/>
        </w:rPr>
        <w:t>La 4 iunie 2018, intimata a depus întâmpinare, aflată la filele 23-62, prin care a invocat excepţia nulităţii recursului, arătând că criticile dezvoltate de recurentă nu se încadrează în cazul de casare indicat de aceasta, art. 488 alin. (1) pct. 8 C. proc. civ. şi a solicitat, în principal, anularea căii de atac în baza art. 493 alin. (5) C. proc. civ. şi, în subsidiar, respingerea recursului ca nefondat în procedura prevăzută de art. 493 alin. (7) C. proc. civ.</w:t>
      </w:r>
    </w:p>
    <w:p w14:paraId="642FB9BF" w14:textId="77777777" w:rsidR="005A6429" w:rsidRPr="00250C7F" w:rsidRDefault="005A6429" w:rsidP="005A6429">
      <w:pPr>
        <w:widowControl w:val="0"/>
        <w:shd w:val="clear" w:color="auto" w:fill="FFFFFF"/>
        <w:autoSpaceDE w:val="0"/>
        <w:autoSpaceDN w:val="0"/>
        <w:adjustRightInd w:val="0"/>
        <w:spacing w:after="0" w:line="276" w:lineRule="auto"/>
        <w:ind w:right="115" w:firstLine="720"/>
        <w:jc w:val="both"/>
        <w:rPr>
          <w:rFonts w:ascii="Times New Roman" w:hAnsi="Times New Roman" w:cs="Times New Roman"/>
          <w:sz w:val="24"/>
          <w:szCs w:val="24"/>
          <w:lang w:eastAsia="ro-RO"/>
        </w:rPr>
      </w:pPr>
      <w:r w:rsidRPr="00250C7F">
        <w:rPr>
          <w:rFonts w:ascii="Times New Roman" w:hAnsi="Times New Roman" w:cs="Times New Roman"/>
          <w:sz w:val="24"/>
          <w:szCs w:val="24"/>
          <w:lang w:eastAsia="ro-RO"/>
        </w:rPr>
        <w:t>Întâmpinarea formulată de intimata-reclamantă a fost comunicată recurentei-pârâte la 12 iunie 2018, aşa cum atestă dovada de înmânare aflată la fila 30 din dosar.</w:t>
      </w:r>
    </w:p>
    <w:p w14:paraId="15F5B57F" w14:textId="77777777" w:rsidR="005A6429" w:rsidRPr="00250C7F" w:rsidRDefault="005A6429" w:rsidP="005A6429">
      <w:pPr>
        <w:widowControl w:val="0"/>
        <w:shd w:val="clear" w:color="auto" w:fill="FFFFFF"/>
        <w:autoSpaceDE w:val="0"/>
        <w:autoSpaceDN w:val="0"/>
        <w:adjustRightInd w:val="0"/>
        <w:spacing w:after="0" w:line="276" w:lineRule="auto"/>
        <w:ind w:right="115" w:firstLine="720"/>
        <w:jc w:val="both"/>
        <w:rPr>
          <w:rFonts w:ascii="Times New Roman" w:hAnsi="Times New Roman" w:cs="Times New Roman"/>
          <w:sz w:val="24"/>
          <w:szCs w:val="24"/>
          <w:lang w:eastAsia="ro-RO"/>
        </w:rPr>
      </w:pPr>
      <w:r w:rsidRPr="00250C7F">
        <w:rPr>
          <w:rFonts w:ascii="Times New Roman" w:hAnsi="Times New Roman" w:cs="Times New Roman"/>
          <w:sz w:val="24"/>
          <w:szCs w:val="24"/>
          <w:lang w:eastAsia="ro-RO"/>
        </w:rPr>
        <w:t>Recurenta a depus la 20 iunie 2018 răspuns la întâmpinarea formulată de intimată, prin care a combătut apărările acesteia.</w:t>
      </w:r>
    </w:p>
    <w:p w14:paraId="0E408C33" w14:textId="77777777" w:rsidR="005A6429" w:rsidRPr="00250C7F" w:rsidRDefault="005A6429" w:rsidP="005A6429">
      <w:pPr>
        <w:widowControl w:val="0"/>
        <w:shd w:val="clear" w:color="auto" w:fill="FFFFFF"/>
        <w:autoSpaceDE w:val="0"/>
        <w:autoSpaceDN w:val="0"/>
        <w:adjustRightInd w:val="0"/>
        <w:spacing w:after="0" w:line="276" w:lineRule="auto"/>
        <w:ind w:right="115" w:firstLine="720"/>
        <w:jc w:val="both"/>
        <w:rPr>
          <w:rFonts w:ascii="Times New Roman" w:hAnsi="Times New Roman" w:cs="Times New Roman"/>
          <w:sz w:val="24"/>
          <w:szCs w:val="24"/>
          <w:lang w:eastAsia="ro-RO"/>
        </w:rPr>
      </w:pPr>
      <w:r w:rsidRPr="00250C7F">
        <w:rPr>
          <w:rFonts w:ascii="Times New Roman" w:hAnsi="Times New Roman" w:cs="Times New Roman"/>
          <w:sz w:val="24"/>
          <w:szCs w:val="24"/>
        </w:rPr>
        <w:t>Conform art. 493 alin. 2-4 C. proc. civ., în forma anterioară modificărilor aduse prin Legea nr. 310/2018, a fost întocmit un raport asupra admisibilității în principiu a recursului, raport care, după analiza acestuia în completul de filtru, a fost comunicat părților.</w:t>
      </w:r>
    </w:p>
    <w:p w14:paraId="5D4F49CE"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Prin încheierea din 6 octombrie 2020 a fost respinsă excepția nulității recursului, invocată de intimata-reclamantă și, conform art. 493 alin. 7 C. proc. civ., a fost admisă în principiu calea extraordinară de atac în reformare și s-a fixat termen de judecată pe fond a acesteia, cu citarea părților.</w:t>
      </w:r>
    </w:p>
    <w:p w14:paraId="45CF5667" w14:textId="77777777" w:rsidR="005A6429" w:rsidRPr="00250C7F" w:rsidRDefault="005A6429" w:rsidP="005A6429">
      <w:pPr>
        <w:spacing w:after="0" w:line="276" w:lineRule="auto"/>
        <w:ind w:firstLine="720"/>
        <w:jc w:val="both"/>
        <w:rPr>
          <w:rFonts w:ascii="Times New Roman" w:hAnsi="Times New Roman" w:cs="Times New Roman"/>
          <w:i/>
          <w:sz w:val="24"/>
          <w:szCs w:val="24"/>
        </w:rPr>
      </w:pPr>
      <w:r w:rsidRPr="00250C7F">
        <w:rPr>
          <w:rFonts w:ascii="Times New Roman" w:hAnsi="Times New Roman" w:cs="Times New Roman"/>
          <w:i/>
          <w:sz w:val="24"/>
          <w:szCs w:val="24"/>
        </w:rPr>
        <w:t>Recursul de față este fondat, însă numai pentru considerentele ce se vor arăta în continuare:</w:t>
      </w:r>
    </w:p>
    <w:p w14:paraId="3E327CD8"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 xml:space="preserve">Prima critică formulată prin cererea de recurs, anume aceea că întârzierea în plata debitului principal s-ar fi datorat neconcordanței între data când a efectuat plata, prin virament bancar, și data alimentării contului pârâtei, astfel că în mod greșit a fost obligată pârâta la plata de penalități, în cuantumul pretins de reclamantă, nu poate fi primită. Instanțele de fond au efectuat, din această perspectivă, o corectă aplicare a prevederilor art. 1497 C. civ., potrivit cărora, în această situație, </w:t>
      </w:r>
      <w:r w:rsidRPr="00250C7F">
        <w:rPr>
          <w:rFonts w:ascii="Times New Roman" w:hAnsi="Times New Roman" w:cs="Times New Roman"/>
          <w:sz w:val="24"/>
          <w:szCs w:val="24"/>
        </w:rPr>
        <w:lastRenderedPageBreak/>
        <w:t>data plății este aceea la care contul creditorului a fost alimentat cu suma de bani ce a făcut obiectul plății. Așadar, din textul de lege rezultă în mod evident data eliberării debitorului de obligație, fiind irelevante data emiterii ordinului de plată sau a debitării contului debitorului.</w:t>
      </w:r>
    </w:p>
    <w:p w14:paraId="31EC32A0"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Cât privește cea de-a doua critică, referitoare la nedovedirea pretențiilor constând în penalități de întârziere, în condițiile neîntocmirii, de către reclamantă, a facturilor fiscale care să le constate, reține că este vădit nefondată. În primul rând, caracterul dovedit sau nu al penalităților de întârziere ține de aprecierea probelor de către instanțele devolutive, apreciere ce poartă asupra elementelor de fapt ale cauzei, nu și asupra celor de drept. Din această perspectivă, critica formulată prin cererea de recurs este una de netemeinicie, și nu de nelegalitate, astfel că nu poate face obiectul recursului, cale de atac limitată la verificarea conformității hotărârii cu regulile de drept aplicabile, potrivit art. 483 alin. 3 C. proc. civ.</w:t>
      </w:r>
    </w:p>
    <w:p w14:paraId="4D5EFAE4"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 xml:space="preserve">Pe de altă parte, instanța de apel a constatat, în mod corect, că pretențiile reclamantei sunt constatate prin înscrisuri sub semnătură privată, recunoscute de partea căreia i-au fost opuse, întrucât aceasta este natura juridică a contractelor perfectate de părți, convenții în care au fost inserate clauzele penale ce justifică daunele interese solicitate prin prezentul demers judiciar. Așadar, recurenta nu a prezentat niciun argument care să îi susțină opinia că, pe lângă actele juridice constatate prin înscrisuri sub semnătură privată (în sens de </w:t>
      </w:r>
      <w:r w:rsidRPr="00250C7F">
        <w:rPr>
          <w:rFonts w:ascii="Times New Roman" w:hAnsi="Times New Roman" w:cs="Times New Roman"/>
          <w:i/>
          <w:sz w:val="24"/>
          <w:szCs w:val="24"/>
        </w:rPr>
        <w:t>instrumentum</w:t>
      </w:r>
      <w:r w:rsidRPr="00250C7F">
        <w:rPr>
          <w:rFonts w:ascii="Times New Roman" w:hAnsi="Times New Roman" w:cs="Times New Roman"/>
          <w:sz w:val="24"/>
          <w:szCs w:val="24"/>
        </w:rPr>
        <w:t>), era necesară și prezentarea de facturi fiscale, ce reprezintă, potrivit art. 6 din Legea nr. 82/1991, doar documente justificative care stau la baza înregistrării în contabilitatea furnizorului sau prestatorului și a cumpărătorului, respectiv beneficiarului de bunuri sau servicii.</w:t>
      </w:r>
    </w:p>
    <w:p w14:paraId="4FCBE3B4"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Nici criticile privind greșita aplicare, de către instanța de apel, a prevederilor art. 1 alin. 2 și art. 18 din Decretul nr. 167/1958 nu pot fi primite. În prezenta cauză, nici nu se pune problema aplicării în timp a legii civile, cu privire la prescripție, întrucât încheierea actelor juridice deduse spre analiză și neexecutarea la termenul stipulat a obligațiilor asumate de către recurentă au intervenit după intrarea în vigoare a Noului Cod civil (Legea nr. 287/2009). Astfel, noua lege a intrat în vigoare la 1 octombrie 2011, conform art. 220 alin. 1 din Legea nr. 71/2011, iar contractele în discuție au fost perfectate de părți în anul 2013. Prin urmare, este evident că, atâta vreme cât Decretul nr. 167/1958 a fost abrogat prin art. 230 lit. p) din Legea nr. 71/2011, textele de lege pretins greșit interpretate de către instanța de apel sunt inaplicabile raportului juridic dedus judecății. În speță, s-a făcut o corectă aplicare a caracterului facultativ al dreptului de a invoca prescripția extinctivă, așa cum rezultă din prevederile art. 2512 C. civ., precum și a momentului până la care se poate invoca, conform art. 2513 C. civ.</w:t>
      </w:r>
    </w:p>
    <w:p w14:paraId="5BEB594A"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Instanța constată, însă, întemeiate criticile relative la greșita aplicare a prevederilor art. 1535 C. civ. și a dispozițiilor art. 1489 C. civ. coroborate cu art. 8 din O.G. nr. 13/2011.</w:t>
      </w:r>
    </w:p>
    <w:p w14:paraId="6ECD511C"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 xml:space="preserve">Astfel, prin art. 1535 alin. 1 C. civ. se consacră dreptul creditorului la daune interese moratorii, în cuantumul convenit de părți sau, în lipsă, în cel prevăzut de lege, pentru ipoteza neexecutării la scadenţă a unei obligaţii bănești. În speță, părțile au convenit asupra cuantumului daunelor interese moratorii datorate de pârâtă prin inserarea, în contracte, a unor clauze penale moratorii. Doar în lipsa unei determinări convenționale a daunelor interese moratorii datorate de debitor pentru executarea cu întârziere a obligației pecuniare, art. 1535 alin. 1 teza I C. civ. recunoaște creditorului dreptul la daune interese în cuantumul prevăzut de lege (evaluarea legală). Dispoziția amintită își găsește corespondent în prevederile art. 2 din O.G. nr. 13/2011, potrivit cărora în cazul în care, potrivit legii sau convenției părților obligația este purtătoare de dobânzi </w:t>
      </w:r>
      <w:r w:rsidRPr="00250C7F">
        <w:rPr>
          <w:rFonts w:ascii="Times New Roman" w:hAnsi="Times New Roman" w:cs="Times New Roman"/>
          <w:sz w:val="24"/>
          <w:szCs w:val="24"/>
        </w:rPr>
        <w:lastRenderedPageBreak/>
        <w:t>remuneratorii și/sau penalizatoare și în absența stipulației exprese a nivelului acestora de către părți, se va plăti dobânda legală aferentă.</w:t>
      </w:r>
    </w:p>
    <w:p w14:paraId="55AD8838"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În speță, nu s-a solicitat cumulul penalităților de întârziere cu dobânda legală, întrucât ambele îndeplinesc aceeași funcție de cuantificare predeterminată a prejudiciului cauzat prin întârzierea la plată, evaluarea fiind convențională în cazul penalităților de întârziere și legală, în cazul dobânzii legale. În realitate, reclamanta a solicitat dobânda legală aferentă sumei pretinse cu titlu de penalități de întârziere, calculată pentru intervalul dintre data achitării debitului principal și data introducerii cererii de chemare în judecată.</w:t>
      </w:r>
    </w:p>
    <w:p w14:paraId="7D4FBFA8"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Prin urmare, reclamanta a solicitat capitalizarea dobânzii moratorii (penalizatoare) și acordarea de dobânzi aferente acestei sume. În principiu, atât legea generală (Codul civil), cât și legea specială (O.G. nr. 13/2011) interzic anatocismul. De la această prohibiție există doar excepțiile reglementate de art. 1489 alin. 2 C. civ. și de art. 8 alin. 2 și alin. 3 din O.G. nr. 13/2011.</w:t>
      </w:r>
    </w:p>
    <w:p w14:paraId="77787EC6"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Excepția instituită de art. 8 alin. 3 din O.G. nr. 13/2011 nu este incidentă în cauză, întrucât vizează doar dobânzile convenționale remuneratorii (dobânda datorată de debitorul obligației de a da o sumă de bani la un anumit termen, calculată pentru perioada anterioară împlinirii termenului scadenței obligației - art. 1 alin. 2 din O.G. nr. 13/2011).</w:t>
      </w:r>
    </w:p>
    <w:p w14:paraId="64A45DC0"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Prin urmare, instanța de apel avea obligația să verifice dacă sunt îndeplinite condițiile prevăzute de lege pentru a opera anatocismul, respectiv, dacă, în condițiile art. 8 alin. 2 din O.G. nr. 13/2011, există o convenție specială între părți pentru capitalizarea dobânzilor moratorii convenționale, care să fi fost încheiată numai după scadență și numai pentru dobânzi datorate pe cel puțin un an.</w:t>
      </w:r>
    </w:p>
    <w:p w14:paraId="10AD7747"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Cum instanța de prim control judiciar nu a identificat niciuna din primele două modalități - sursă ale anatocismului, reglementate de art. 1489 alin. 2 C. civ. (legea sau contractul, în acest ultim caz, în limitele permise de lege, arătate în paragraful precedent), aceasta a apreciat că poate face aplicarea art. 1489 alin. 2 teza ultimă. Este adevărat că acest ultim text de lege permite ca dobânzile scadente să producă ele însele dobânzi, atunci când sunt cerute în instanță. Însă, așa cum rezultă din prevederile explicite ale textului de lege, în acest caz noile dobânzi curg la dobânzile scadente numai de la data cererii de chemare în judecată. Or, instanțele de fond au fost învestite cu o cerere ce viza daune-interese moratorii (dobânda legală) aferente unor penalități de întârziere capitalizate, daune calculate pentru o perioadă anterioară înregistrării cererii de chemare în judecată, respectiv de la data plății debitului principal. Așadar, numai prin greșita aplicare a prevederilor art. 1489 alin. 2 teza ultimă instanţa de apel a putut considera că se află în vreunul din cazurile de excepție de la regula interzicerii anatocismului.</w:t>
      </w:r>
    </w:p>
    <w:p w14:paraId="69C5A12D" w14:textId="77777777" w:rsidR="005A6429" w:rsidRPr="00250C7F" w:rsidRDefault="005A6429" w:rsidP="005A6429">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Față de cele ce preced, constată că instanța de apel a făcut o greșită aplicare a normelor de drept material incidente, respectiv a prevederilor art. 1535 alin. 1 și art. 1489 alin. 2 C. civ., raportate la art. 8 alin. 1 și alin. 2 din O.G. nr. 13/2011. Așa fiind, constată întemeiate criticile subscrise motivului de casare prevăzut de art. 488 alin. 1 pct. 8 C. proc. civ., în ce privește soluția dată apelului declarat de către reclamantă.</w:t>
      </w:r>
    </w:p>
    <w:p w14:paraId="2D3B60E6" w14:textId="591FA2A7" w:rsidR="000303CA" w:rsidRPr="00250C7F" w:rsidRDefault="005A6429" w:rsidP="00C7648A">
      <w:pPr>
        <w:spacing w:after="0" w:line="276" w:lineRule="auto"/>
        <w:ind w:firstLine="720"/>
        <w:jc w:val="both"/>
        <w:rPr>
          <w:rFonts w:ascii="Times New Roman" w:hAnsi="Times New Roman" w:cs="Times New Roman"/>
          <w:sz w:val="24"/>
          <w:szCs w:val="24"/>
        </w:rPr>
      </w:pPr>
      <w:r w:rsidRPr="00250C7F">
        <w:rPr>
          <w:rFonts w:ascii="Times New Roman" w:hAnsi="Times New Roman" w:cs="Times New Roman"/>
          <w:sz w:val="24"/>
          <w:szCs w:val="24"/>
        </w:rPr>
        <w:t>Așa fiind, potrivit art. 496 alin. 2 și art. 497 teza I C. proc. civ., Înalta Curte a admis recursul și a casat în parte decizia atacată, numai în ceea ce privește apelul declarat de reclamantă, cu consecința trimiterii cauzei spre o nouă judecată, instanț</w:t>
      </w:r>
      <w:r w:rsidR="00C7648A" w:rsidRPr="00250C7F">
        <w:rPr>
          <w:rFonts w:ascii="Times New Roman" w:hAnsi="Times New Roman" w:cs="Times New Roman"/>
          <w:sz w:val="24"/>
          <w:szCs w:val="24"/>
        </w:rPr>
        <w:t>ei de apel.</w:t>
      </w:r>
    </w:p>
    <w:p w14:paraId="5C8A27E8" w14:textId="30A435F8" w:rsidR="00705AC3" w:rsidRPr="00250C7F" w:rsidRDefault="008D5478" w:rsidP="008D5478">
      <w:pPr>
        <w:pStyle w:val="Heading3"/>
        <w:spacing w:line="276" w:lineRule="auto"/>
        <w:jc w:val="both"/>
        <w:rPr>
          <w:rFonts w:ascii="Times New Roman" w:hAnsi="Times New Roman" w:cs="Times New Roman"/>
          <w:b/>
          <w:color w:val="auto"/>
          <w:highlight w:val="yellow"/>
        </w:rPr>
      </w:pPr>
      <w:bookmarkStart w:id="22" w:name="_Toc84584812"/>
      <w:r w:rsidRPr="00250C7F">
        <w:rPr>
          <w:rFonts w:ascii="Times New Roman" w:hAnsi="Times New Roman" w:cs="Times New Roman"/>
          <w:b/>
          <w:color w:val="auto"/>
        </w:rPr>
        <w:lastRenderedPageBreak/>
        <w:t>3</w:t>
      </w:r>
      <w:r w:rsidR="00705AC3" w:rsidRPr="00250C7F">
        <w:rPr>
          <w:rFonts w:ascii="Times New Roman" w:hAnsi="Times New Roman" w:cs="Times New Roman"/>
          <w:b/>
          <w:color w:val="auto"/>
        </w:rPr>
        <w:t>.</w:t>
      </w:r>
      <w:r w:rsidR="007455C8" w:rsidRPr="00250C7F">
        <w:rPr>
          <w:rFonts w:ascii="Times New Roman" w:hAnsi="Times New Roman" w:cs="Times New Roman"/>
          <w:b/>
          <w:color w:val="auto"/>
        </w:rPr>
        <w:t xml:space="preserve"> </w:t>
      </w:r>
      <w:r w:rsidR="00B951CE" w:rsidRPr="00250C7F">
        <w:rPr>
          <w:rFonts w:ascii="Times New Roman" w:hAnsi="Times New Roman" w:cs="Times New Roman"/>
          <w:b/>
          <w:color w:val="auto"/>
        </w:rPr>
        <w:t>Antecontract de vânzare. Acțiune în constatarea nulității absolute pentru nerespectarea dispozițiilor art. 153 ind. 22 din Legea nr. 31/1990. Condiții și efecte</w:t>
      </w:r>
      <w:bookmarkEnd w:id="22"/>
    </w:p>
    <w:p w14:paraId="3B29D3D6" w14:textId="77777777" w:rsidR="009B1374" w:rsidRPr="00250C7F" w:rsidRDefault="009B1374" w:rsidP="00CB3E33">
      <w:pPr>
        <w:spacing w:after="0" w:line="240" w:lineRule="auto"/>
        <w:ind w:firstLine="708"/>
        <w:contextualSpacing/>
        <w:jc w:val="right"/>
        <w:rPr>
          <w:rFonts w:ascii="Times New Roman" w:hAnsi="Times New Roman" w:cs="Times New Roman"/>
          <w:sz w:val="24"/>
          <w:szCs w:val="24"/>
          <w:highlight w:val="yellow"/>
        </w:rPr>
      </w:pPr>
    </w:p>
    <w:p w14:paraId="4608FCB8" w14:textId="77777777" w:rsidR="00B951CE" w:rsidRPr="00250C7F" w:rsidRDefault="00B951CE" w:rsidP="00CB3E33">
      <w:pPr>
        <w:spacing w:after="0" w:line="240" w:lineRule="auto"/>
        <w:ind w:firstLine="708"/>
        <w:contextualSpacing/>
        <w:jc w:val="right"/>
        <w:rPr>
          <w:rFonts w:ascii="Times New Roman" w:hAnsi="Times New Roman" w:cs="Times New Roman"/>
          <w:sz w:val="24"/>
          <w:szCs w:val="24"/>
        </w:rPr>
      </w:pPr>
      <w:r w:rsidRPr="00250C7F">
        <w:rPr>
          <w:rFonts w:ascii="Times New Roman" w:hAnsi="Times New Roman" w:cs="Times New Roman"/>
          <w:sz w:val="24"/>
          <w:szCs w:val="24"/>
        </w:rPr>
        <w:t>Legea nr. 31/1990, art. 153</w:t>
      </w:r>
      <w:r w:rsidRPr="00250C7F">
        <w:rPr>
          <w:rFonts w:ascii="Times New Roman" w:hAnsi="Times New Roman" w:cs="Times New Roman"/>
          <w:sz w:val="24"/>
          <w:szCs w:val="24"/>
          <w:vertAlign w:val="superscript"/>
        </w:rPr>
        <w:t>22</w:t>
      </w:r>
    </w:p>
    <w:p w14:paraId="61D3F47C" w14:textId="77777777" w:rsidR="00B951CE" w:rsidRPr="00250C7F" w:rsidRDefault="00B951CE" w:rsidP="00CB3E33">
      <w:pPr>
        <w:spacing w:after="0" w:line="240" w:lineRule="auto"/>
        <w:ind w:firstLine="708"/>
        <w:contextualSpacing/>
        <w:jc w:val="right"/>
        <w:rPr>
          <w:rFonts w:ascii="Times New Roman" w:hAnsi="Times New Roman" w:cs="Times New Roman"/>
          <w:sz w:val="24"/>
          <w:szCs w:val="24"/>
        </w:rPr>
      </w:pPr>
      <w:r w:rsidRPr="00250C7F">
        <w:rPr>
          <w:rFonts w:ascii="Times New Roman" w:hAnsi="Times New Roman" w:cs="Times New Roman"/>
          <w:sz w:val="24"/>
          <w:szCs w:val="24"/>
        </w:rPr>
        <w:t>C. civ., art. 627 alin. (4), art. 1237, art. 1238, art. 1279 alin. (3), art. 1669 alin. (1)</w:t>
      </w:r>
    </w:p>
    <w:p w14:paraId="1B572A7E" w14:textId="77777777" w:rsidR="00B951CE" w:rsidRPr="00250C7F" w:rsidRDefault="00B951CE" w:rsidP="00CB3E33">
      <w:pPr>
        <w:spacing w:after="0" w:line="240" w:lineRule="auto"/>
        <w:ind w:firstLine="708"/>
        <w:contextualSpacing/>
        <w:jc w:val="right"/>
        <w:rPr>
          <w:rFonts w:ascii="Times New Roman" w:hAnsi="Times New Roman" w:cs="Times New Roman"/>
          <w:sz w:val="24"/>
          <w:szCs w:val="24"/>
        </w:rPr>
      </w:pPr>
      <w:r w:rsidRPr="00250C7F">
        <w:rPr>
          <w:rFonts w:ascii="Times New Roman" w:hAnsi="Times New Roman" w:cs="Times New Roman"/>
          <w:sz w:val="24"/>
          <w:szCs w:val="24"/>
        </w:rPr>
        <w:t>Legea nr. 71/2011, art. 60</w:t>
      </w:r>
      <w:r w:rsidRPr="00250C7F">
        <w:rPr>
          <w:rFonts w:ascii="Times New Roman" w:hAnsi="Times New Roman" w:cs="Times New Roman"/>
          <w:sz w:val="24"/>
          <w:szCs w:val="24"/>
          <w:vertAlign w:val="superscript"/>
        </w:rPr>
        <w:t>1</w:t>
      </w:r>
    </w:p>
    <w:p w14:paraId="65957F94" w14:textId="77777777" w:rsidR="009B1374" w:rsidRPr="00250C7F" w:rsidRDefault="009B1374" w:rsidP="00891584">
      <w:pPr>
        <w:spacing w:after="0" w:line="276" w:lineRule="auto"/>
        <w:ind w:firstLine="708"/>
        <w:contextualSpacing/>
        <w:jc w:val="right"/>
        <w:rPr>
          <w:rFonts w:ascii="Times New Roman" w:hAnsi="Times New Roman" w:cs="Times New Roman"/>
          <w:sz w:val="24"/>
          <w:szCs w:val="24"/>
          <w:highlight w:val="yellow"/>
        </w:rPr>
      </w:pPr>
    </w:p>
    <w:p w14:paraId="652D9296" w14:textId="77777777" w:rsidR="00B951CE" w:rsidRPr="00250C7F" w:rsidRDefault="00B951CE" w:rsidP="00B951CE">
      <w:pPr>
        <w:spacing w:after="0" w:line="276" w:lineRule="auto"/>
        <w:ind w:firstLine="708"/>
        <w:jc w:val="both"/>
        <w:rPr>
          <w:rFonts w:ascii="Times New Roman" w:hAnsi="Times New Roman"/>
          <w:i/>
          <w:iCs/>
          <w:sz w:val="24"/>
          <w:szCs w:val="24"/>
        </w:rPr>
      </w:pPr>
      <w:r w:rsidRPr="00250C7F">
        <w:rPr>
          <w:rFonts w:ascii="Times New Roman" w:hAnsi="Times New Roman"/>
          <w:i/>
          <w:sz w:val="24"/>
          <w:szCs w:val="24"/>
        </w:rPr>
        <w:t>Potrivit dispoziţiilor art. 153</w:t>
      </w:r>
      <w:r w:rsidRPr="00250C7F">
        <w:rPr>
          <w:rFonts w:ascii="Times New Roman" w:hAnsi="Times New Roman"/>
          <w:i/>
          <w:sz w:val="24"/>
          <w:szCs w:val="24"/>
          <w:vertAlign w:val="superscript"/>
        </w:rPr>
        <w:t>22</w:t>
      </w:r>
      <w:r w:rsidRPr="00250C7F">
        <w:rPr>
          <w:rFonts w:ascii="Times New Roman" w:hAnsi="Times New Roman"/>
          <w:i/>
          <w:sz w:val="24"/>
          <w:szCs w:val="24"/>
        </w:rPr>
        <w:t xml:space="preserve"> din Legea 31/1990, c</w:t>
      </w:r>
      <w:r w:rsidRPr="00250C7F">
        <w:rPr>
          <w:rFonts w:ascii="Times New Roman" w:hAnsi="Times New Roman"/>
          <w:i/>
          <w:iCs/>
          <w:sz w:val="24"/>
          <w:szCs w:val="24"/>
        </w:rPr>
        <w:t>onsiliul de administraţie, respectiv directoratul, va putea să încheie acte juridice în numele şi în contul societăţii, prin care să dobândească bunuri pentru aceasta sau să înstrăineze, să închirieze, să schimbe ori să constituie în garanţie bunuri aflate în patrimoniul societăţii, a căror valoare depăşeşte jumătate din valoarea contabilă a activelor societăţii la data încheierii actului juridic, numai cu aprobarea adunării generale a acţionarilor, dată în condiţiile art. 115.”</w:t>
      </w:r>
    </w:p>
    <w:p w14:paraId="205D7F27" w14:textId="77777777" w:rsidR="00B951CE" w:rsidRPr="00250C7F" w:rsidRDefault="00B951CE" w:rsidP="00B951CE">
      <w:pPr>
        <w:autoSpaceDE w:val="0"/>
        <w:autoSpaceDN w:val="0"/>
        <w:adjustRightInd w:val="0"/>
        <w:spacing w:after="0" w:line="276" w:lineRule="auto"/>
        <w:ind w:firstLine="708"/>
        <w:jc w:val="both"/>
        <w:rPr>
          <w:rFonts w:ascii="Times New Roman" w:hAnsi="Times New Roman"/>
          <w:i/>
          <w:iCs/>
          <w:color w:val="000000"/>
          <w:sz w:val="24"/>
          <w:szCs w:val="28"/>
        </w:rPr>
      </w:pPr>
      <w:r w:rsidRPr="00250C7F">
        <w:rPr>
          <w:rFonts w:ascii="Times New Roman" w:hAnsi="Times New Roman"/>
          <w:i/>
          <w:color w:val="2E2E2E"/>
          <w:sz w:val="24"/>
          <w:szCs w:val="28"/>
          <w:shd w:val="clear" w:color="auto" w:fill="FFFFFF"/>
        </w:rPr>
        <w:t>Clauza de inalienabilitate, ca</w:t>
      </w:r>
      <w:r w:rsidRPr="00250C7F">
        <w:rPr>
          <w:rFonts w:ascii="Times New Roman" w:hAnsi="Times New Roman"/>
          <w:i/>
          <w:iCs/>
          <w:sz w:val="24"/>
          <w:szCs w:val="28"/>
          <w:shd w:val="clear" w:color="auto" w:fill="FFFFFF"/>
        </w:rPr>
        <w:t xml:space="preserve"> limitare </w:t>
      </w:r>
      <w:r w:rsidRPr="00250C7F">
        <w:rPr>
          <w:rFonts w:ascii="Times New Roman" w:hAnsi="Times New Roman"/>
          <w:i/>
          <w:sz w:val="24"/>
          <w:szCs w:val="28"/>
          <w:shd w:val="clear" w:color="auto" w:fill="FFFFFF"/>
        </w:rPr>
        <w:t xml:space="preserve">convențională a dreptului de a înstrăina bunul, </w:t>
      </w:r>
      <w:r w:rsidRPr="00250C7F">
        <w:rPr>
          <w:rFonts w:ascii="Times New Roman" w:hAnsi="Times New Roman"/>
          <w:i/>
          <w:iCs/>
          <w:sz w:val="24"/>
          <w:szCs w:val="28"/>
          <w:shd w:val="clear" w:color="auto" w:fill="FFFFFF"/>
        </w:rPr>
        <w:t xml:space="preserve">nu se subsumează niciuneia dintre ipotezele pentru care </w:t>
      </w:r>
      <w:r w:rsidRPr="00250C7F">
        <w:rPr>
          <w:rFonts w:ascii="Times New Roman" w:hAnsi="Times New Roman"/>
          <w:i/>
          <w:color w:val="000000"/>
          <w:sz w:val="24"/>
          <w:szCs w:val="28"/>
        </w:rPr>
        <w:t xml:space="preserve">legiuitorul a reglementat prin </w:t>
      </w:r>
      <w:r w:rsidRPr="00250C7F">
        <w:rPr>
          <w:rFonts w:ascii="Times New Roman" w:hAnsi="Times New Roman"/>
          <w:i/>
          <w:iCs/>
          <w:color w:val="000000"/>
          <w:sz w:val="24"/>
          <w:szCs w:val="28"/>
        </w:rPr>
        <w:t>art. 153</w:t>
      </w:r>
      <w:r w:rsidRPr="00250C7F">
        <w:rPr>
          <w:rFonts w:ascii="Times New Roman" w:hAnsi="Times New Roman"/>
          <w:i/>
          <w:iCs/>
          <w:color w:val="000000"/>
          <w:sz w:val="24"/>
          <w:szCs w:val="28"/>
          <w:vertAlign w:val="superscript"/>
        </w:rPr>
        <w:t>22</w:t>
      </w:r>
      <w:r w:rsidRPr="00250C7F">
        <w:rPr>
          <w:rFonts w:ascii="Times New Roman" w:hAnsi="Times New Roman"/>
          <w:i/>
          <w:iCs/>
          <w:color w:val="000000"/>
          <w:sz w:val="24"/>
          <w:szCs w:val="28"/>
        </w:rPr>
        <w:t xml:space="preserve">  din Legea nr. 31/1990</w:t>
      </w:r>
      <w:r w:rsidRPr="00250C7F">
        <w:rPr>
          <w:rFonts w:ascii="Times New Roman" w:hAnsi="Times New Roman"/>
          <w:i/>
          <w:color w:val="000000"/>
          <w:sz w:val="24"/>
          <w:szCs w:val="28"/>
        </w:rPr>
        <w:t xml:space="preserve">, pe baza unui criteriu obiectiv (natura actelor), căruia i se adaugă criteriul valoric, necesitatea existenţei aprobării adunării generale a acţionarilor ca o condiţie de validitate a actului juridic încheiat în numele şi pe seama societăţii. </w:t>
      </w:r>
    </w:p>
    <w:p w14:paraId="3DE3BBE8" w14:textId="77777777" w:rsidR="00B951CE" w:rsidRPr="00250C7F" w:rsidRDefault="00B951CE" w:rsidP="00B951CE">
      <w:pPr>
        <w:autoSpaceDE w:val="0"/>
        <w:autoSpaceDN w:val="0"/>
        <w:adjustRightInd w:val="0"/>
        <w:spacing w:after="0" w:line="276" w:lineRule="auto"/>
        <w:ind w:firstLine="708"/>
        <w:jc w:val="both"/>
        <w:rPr>
          <w:rFonts w:ascii="Times New Roman" w:hAnsi="Times New Roman"/>
          <w:i/>
          <w:iCs/>
          <w:color w:val="000000"/>
          <w:sz w:val="24"/>
          <w:szCs w:val="28"/>
        </w:rPr>
      </w:pPr>
      <w:r w:rsidRPr="00250C7F">
        <w:rPr>
          <w:rFonts w:ascii="Times New Roman" w:hAnsi="Times New Roman"/>
          <w:i/>
          <w:iCs/>
          <w:color w:val="000000"/>
          <w:sz w:val="24"/>
          <w:szCs w:val="28"/>
        </w:rPr>
        <w:t>În aceste condiţii, limitarea legală a mandatului general al administratorilor/directoratului nu poate fi extinsă, cu argumentul a fortiori ratione, la acte a căror natură juridică excedează celor în mod limitativ şi expres avute în vedere de legiuitor.</w:t>
      </w:r>
    </w:p>
    <w:p w14:paraId="55EF4A53" w14:textId="64AAB0F6" w:rsidR="00705AC3" w:rsidRPr="00250C7F" w:rsidRDefault="00B951CE" w:rsidP="00FA2689">
      <w:pPr>
        <w:autoSpaceDE w:val="0"/>
        <w:autoSpaceDN w:val="0"/>
        <w:adjustRightInd w:val="0"/>
        <w:spacing w:after="0" w:line="276" w:lineRule="auto"/>
        <w:ind w:firstLine="708"/>
        <w:jc w:val="both"/>
        <w:rPr>
          <w:rFonts w:ascii="PT Sans" w:hAnsi="PT Sans"/>
          <w:i/>
          <w:color w:val="2E2E2E"/>
          <w:sz w:val="19"/>
          <w:szCs w:val="21"/>
          <w:shd w:val="clear" w:color="auto" w:fill="FFFFFF"/>
        </w:rPr>
      </w:pPr>
      <w:r w:rsidRPr="00250C7F">
        <w:rPr>
          <w:rFonts w:ascii="Times New Roman" w:hAnsi="Times New Roman"/>
          <w:i/>
          <w:iCs/>
          <w:color w:val="000000"/>
          <w:sz w:val="24"/>
          <w:szCs w:val="28"/>
        </w:rPr>
        <w:t>Prezumarea de către legiuitor a c</w:t>
      </w:r>
      <w:r w:rsidRPr="00250C7F">
        <w:rPr>
          <w:rFonts w:ascii="Times New Roman" w:hAnsi="Times New Roman"/>
          <w:i/>
          <w:color w:val="000000"/>
          <w:sz w:val="24"/>
          <w:szCs w:val="28"/>
        </w:rPr>
        <w:t xml:space="preserve">lauzei de inalienabilitate şi în cazul </w:t>
      </w:r>
      <w:r w:rsidRPr="00250C7F">
        <w:rPr>
          <w:rFonts w:ascii="Times New Roman" w:hAnsi="Times New Roman"/>
          <w:i/>
          <w:iCs/>
          <w:sz w:val="24"/>
          <w:szCs w:val="28"/>
          <w:shd w:val="clear" w:color="auto" w:fill="FFFFFF"/>
        </w:rPr>
        <w:t>convențiilor din care se naște obligația de a transmite în viitor proprietatea către o persoană determinată sau determinabilă, categorie în care intră şi antecontractele</w:t>
      </w:r>
      <w:r w:rsidRPr="00250C7F">
        <w:rPr>
          <w:rFonts w:ascii="Times New Roman" w:hAnsi="Times New Roman"/>
          <w:i/>
          <w:iCs/>
          <w:sz w:val="24"/>
          <w:szCs w:val="28"/>
        </w:rPr>
        <w:t xml:space="preserve"> având ca obiect transmiterea în viitor, prin încheierea de contracte, a dreptului de proprietate asupra unui bun imobil, </w:t>
      </w:r>
      <w:r w:rsidRPr="00250C7F">
        <w:rPr>
          <w:rFonts w:ascii="Times New Roman" w:hAnsi="Times New Roman"/>
          <w:i/>
          <w:iCs/>
          <w:sz w:val="24"/>
          <w:szCs w:val="28"/>
          <w:shd w:val="clear" w:color="auto" w:fill="FFFFFF"/>
        </w:rPr>
        <w:t>nu poate da suport legal asimilării acestora din urmă unor acte de înstrăinare.</w:t>
      </w:r>
    </w:p>
    <w:p w14:paraId="0353BD64" w14:textId="77777777" w:rsidR="00FA2689" w:rsidRPr="00250C7F" w:rsidRDefault="00FA2689" w:rsidP="00FA2689">
      <w:pPr>
        <w:autoSpaceDE w:val="0"/>
        <w:autoSpaceDN w:val="0"/>
        <w:adjustRightInd w:val="0"/>
        <w:spacing w:after="0" w:line="276" w:lineRule="auto"/>
        <w:ind w:firstLine="708"/>
        <w:jc w:val="both"/>
        <w:rPr>
          <w:rFonts w:ascii="PT Sans" w:hAnsi="PT Sans"/>
          <w:i/>
          <w:color w:val="2E2E2E"/>
          <w:sz w:val="19"/>
          <w:szCs w:val="21"/>
          <w:shd w:val="clear" w:color="auto" w:fill="FFFFFF"/>
        </w:rPr>
      </w:pPr>
    </w:p>
    <w:p w14:paraId="5803325C" w14:textId="14A8778A" w:rsidR="00705AC3" w:rsidRPr="00250C7F" w:rsidRDefault="006E6786" w:rsidP="00B951CE">
      <w:pPr>
        <w:keepNext/>
        <w:spacing w:after="0" w:line="276" w:lineRule="auto"/>
        <w:jc w:val="both"/>
        <w:outlineLvl w:val="3"/>
        <w:rPr>
          <w:rFonts w:ascii="Times New Roman" w:hAnsi="Times New Roman" w:cs="Times New Roman"/>
          <w:b/>
          <w:bCs/>
          <w:sz w:val="24"/>
          <w:szCs w:val="24"/>
        </w:rPr>
      </w:pPr>
      <w:r w:rsidRPr="00250C7F">
        <w:rPr>
          <w:rFonts w:ascii="Times New Roman" w:hAnsi="Times New Roman" w:cs="Times New Roman"/>
          <w:color w:val="000000"/>
          <w:sz w:val="24"/>
          <w:szCs w:val="24"/>
        </w:rPr>
        <w:t xml:space="preserve">I.C.C.J., </w:t>
      </w:r>
      <w:r w:rsidR="00705AC3" w:rsidRPr="00250C7F">
        <w:rPr>
          <w:rFonts w:ascii="Times New Roman" w:hAnsi="Times New Roman" w:cs="Times New Roman"/>
          <w:color w:val="000000"/>
          <w:sz w:val="24"/>
          <w:szCs w:val="24"/>
        </w:rPr>
        <w:t xml:space="preserve">Secţia a II-a civilă, </w:t>
      </w:r>
      <w:r w:rsidR="0075467B" w:rsidRPr="00250C7F">
        <w:rPr>
          <w:rFonts w:ascii="Times New Roman" w:hAnsi="Times New Roman" w:cs="Times New Roman"/>
          <w:color w:val="000000"/>
          <w:sz w:val="24"/>
          <w:szCs w:val="24"/>
        </w:rPr>
        <w:t xml:space="preserve">decizia </w:t>
      </w:r>
      <w:r w:rsidR="00705AC3" w:rsidRPr="00250C7F">
        <w:rPr>
          <w:rFonts w:ascii="Times New Roman" w:hAnsi="Times New Roman" w:cs="Times New Roman"/>
          <w:color w:val="000000"/>
          <w:sz w:val="24"/>
          <w:szCs w:val="24"/>
        </w:rPr>
        <w:t xml:space="preserve">nr. </w:t>
      </w:r>
      <w:r w:rsidR="00B951CE" w:rsidRPr="00250C7F">
        <w:rPr>
          <w:rFonts w:ascii="Times New Roman" w:hAnsi="Times New Roman" w:cs="Times New Roman"/>
          <w:color w:val="000000"/>
          <w:sz w:val="24"/>
          <w:szCs w:val="24"/>
        </w:rPr>
        <w:t>224 din 3 februarie 2021</w:t>
      </w:r>
    </w:p>
    <w:p w14:paraId="0DAFD5F5" w14:textId="77777777" w:rsidR="00705AC3" w:rsidRPr="00250C7F" w:rsidRDefault="00705AC3" w:rsidP="00B951CE">
      <w:pPr>
        <w:shd w:val="clear" w:color="auto" w:fill="FFFFFF"/>
        <w:spacing w:after="0" w:line="276" w:lineRule="auto"/>
        <w:ind w:firstLine="720"/>
        <w:jc w:val="both"/>
        <w:rPr>
          <w:rFonts w:ascii="Times New Roman" w:hAnsi="Times New Roman" w:cs="Times New Roman"/>
          <w:sz w:val="24"/>
          <w:szCs w:val="24"/>
          <w:highlight w:val="yellow"/>
        </w:rPr>
      </w:pPr>
    </w:p>
    <w:p w14:paraId="31A8B53D" w14:textId="77777777" w:rsidR="00B951CE" w:rsidRPr="00250C7F" w:rsidRDefault="00B951CE" w:rsidP="00B951CE">
      <w:pPr>
        <w:spacing w:after="0" w:line="276" w:lineRule="auto"/>
        <w:ind w:firstLine="720"/>
        <w:jc w:val="both"/>
        <w:rPr>
          <w:rFonts w:ascii="Times New Roman" w:eastAsia="Times New Roman" w:hAnsi="Times New Roman"/>
          <w:sz w:val="24"/>
        </w:rPr>
      </w:pPr>
      <w:r w:rsidRPr="00250C7F">
        <w:rPr>
          <w:rFonts w:ascii="Times New Roman" w:hAnsi="Times New Roman"/>
          <w:sz w:val="24"/>
          <w:szCs w:val="28"/>
        </w:rPr>
        <w:t>Prin cererea înregistrată pe rolul</w:t>
      </w:r>
      <w:r w:rsidRPr="00250C7F">
        <w:rPr>
          <w:rFonts w:ascii="Times New Roman" w:hAnsi="Times New Roman"/>
          <w:color w:val="000000"/>
          <w:sz w:val="24"/>
          <w:szCs w:val="28"/>
        </w:rPr>
        <w:t xml:space="preserve"> Tribunalului Specializat Mureş</w:t>
      </w:r>
      <w:r w:rsidRPr="00250C7F">
        <w:rPr>
          <w:rFonts w:ascii="Times New Roman" w:hAnsi="Times New Roman"/>
          <w:sz w:val="24"/>
          <w:szCs w:val="28"/>
        </w:rPr>
        <w:t xml:space="preserve"> la data de 19 iunie 2018, sub nr. de dosar x/1371/2018, reclamanta Societatea A. SA a solicitat, în contradictoriu cu pârâţii B. şi C., ca instanţa să constate nulitatea absolută a antecontractului de vânzare cumpărare atestat prin Încheierea nr. 45/03.08.2012, ca efect al nesocotirii prevederilor art. 153 ind. 22 din Legea nr. 31/1990, respectiv a dispoziţiilor art. 1237 şi 1238 C. civ. 2011. </w:t>
      </w:r>
    </w:p>
    <w:p w14:paraId="303DBFE6" w14:textId="77777777" w:rsidR="00B951CE" w:rsidRPr="00250C7F" w:rsidRDefault="00B951CE" w:rsidP="00B951CE">
      <w:pPr>
        <w:spacing w:after="0" w:line="276" w:lineRule="auto"/>
        <w:ind w:firstLine="720"/>
        <w:jc w:val="both"/>
        <w:rPr>
          <w:rFonts w:ascii="Times New Roman" w:hAnsi="Times New Roman"/>
          <w:color w:val="000000"/>
          <w:sz w:val="24"/>
          <w:szCs w:val="28"/>
        </w:rPr>
      </w:pPr>
      <w:r w:rsidRPr="00250C7F">
        <w:rPr>
          <w:rFonts w:ascii="Times New Roman" w:hAnsi="Times New Roman"/>
          <w:color w:val="000000"/>
          <w:sz w:val="24"/>
          <w:szCs w:val="28"/>
        </w:rPr>
        <w:t>Prin sentinţa nr. 6 din 23 ianuarie 2019, Tribunalul Specializat Mureş a respins acţiunea, ca neîntemeiată, precum şi cererea accesorie privind acordarea cheltuielilor de judecată formulată de către reclamanta, aceasta din urmă fiind  obligată la plata în favoarea pârâţilor B. şi C. a sumei de 7.140 de lei, reprezentând onorariu avocat.</w:t>
      </w:r>
    </w:p>
    <w:p w14:paraId="4BF7B31F" w14:textId="77777777" w:rsidR="00B951CE" w:rsidRPr="00250C7F" w:rsidRDefault="00B951CE" w:rsidP="00B951CE">
      <w:pPr>
        <w:spacing w:after="0" w:line="276" w:lineRule="auto"/>
        <w:ind w:firstLine="720"/>
        <w:jc w:val="both"/>
        <w:rPr>
          <w:rFonts w:ascii="Times New Roman" w:hAnsi="Times New Roman"/>
          <w:sz w:val="24"/>
          <w:szCs w:val="28"/>
        </w:rPr>
      </w:pPr>
      <w:r w:rsidRPr="00250C7F">
        <w:rPr>
          <w:rFonts w:ascii="Times New Roman" w:eastAsia="Times New Roman" w:hAnsi="Times New Roman"/>
          <w:bCs/>
          <w:color w:val="000000"/>
          <w:sz w:val="24"/>
          <w:szCs w:val="28"/>
          <w:lang w:eastAsia="ro-RO"/>
        </w:rPr>
        <w:t>Prin decizia nr. 229/2019 din 9 iulie 2019, pronunţată de Curtea de Apel Târgu Mureş,  Secţia a II-a civilă, de contencios administrativ şi fiscal</w:t>
      </w:r>
      <w:r w:rsidRPr="00250C7F">
        <w:rPr>
          <w:rFonts w:ascii="Times New Roman" w:hAnsi="Times New Roman"/>
          <w:sz w:val="24"/>
          <w:szCs w:val="28"/>
        </w:rPr>
        <w:t xml:space="preserve">, </w:t>
      </w:r>
      <w:r w:rsidRPr="00250C7F">
        <w:rPr>
          <w:rFonts w:ascii="Times New Roman" w:eastAsia="Times New Roman" w:hAnsi="Times New Roman"/>
          <w:bCs/>
          <w:color w:val="000000"/>
          <w:sz w:val="24"/>
          <w:szCs w:val="28"/>
          <w:lang w:eastAsia="ro-RO"/>
        </w:rPr>
        <w:t xml:space="preserve">a fost </w:t>
      </w:r>
      <w:r w:rsidRPr="00250C7F">
        <w:rPr>
          <w:rFonts w:ascii="Times New Roman" w:hAnsi="Times New Roman"/>
          <w:sz w:val="24"/>
          <w:szCs w:val="28"/>
        </w:rPr>
        <w:t>respins, ca nefondat, apelul declarat de reclamanta Societatea A. SA împotriva sentinţei nr. 6 din 23 ianuarie 2019, pronunţate de Tribunalul Specializat Mureş în dosarul nr. x/1371/2018.</w:t>
      </w:r>
    </w:p>
    <w:p w14:paraId="789F7A8F" w14:textId="77777777" w:rsidR="00B951CE" w:rsidRPr="00250C7F" w:rsidRDefault="00B951CE" w:rsidP="00B951CE">
      <w:pPr>
        <w:spacing w:after="0" w:line="276" w:lineRule="auto"/>
        <w:ind w:firstLine="720"/>
        <w:jc w:val="both"/>
        <w:rPr>
          <w:rFonts w:ascii="Times New Roman" w:hAnsi="Times New Roman"/>
          <w:color w:val="000000"/>
          <w:sz w:val="24"/>
          <w:szCs w:val="28"/>
        </w:rPr>
      </w:pPr>
      <w:r w:rsidRPr="00250C7F">
        <w:rPr>
          <w:rFonts w:ascii="Times New Roman" w:hAnsi="Times New Roman"/>
          <w:sz w:val="24"/>
          <w:szCs w:val="28"/>
        </w:rPr>
        <w:t xml:space="preserve">A fost </w:t>
      </w:r>
      <w:r w:rsidRPr="00250C7F">
        <w:rPr>
          <w:rFonts w:ascii="Times New Roman" w:hAnsi="Times New Roman"/>
          <w:color w:val="000000"/>
          <w:sz w:val="24"/>
          <w:szCs w:val="28"/>
        </w:rPr>
        <w:t>o</w:t>
      </w:r>
      <w:r w:rsidRPr="00250C7F">
        <w:rPr>
          <w:rFonts w:ascii="Times New Roman" w:hAnsi="Times New Roman"/>
          <w:sz w:val="24"/>
          <w:szCs w:val="28"/>
        </w:rPr>
        <w:t>bligată apelanta să-i plătească intimatului B., suma de 7.140 lei, cu titlu de cheltuieli de judecată.</w:t>
      </w:r>
    </w:p>
    <w:p w14:paraId="192DB909"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eastAsia="Times New Roman" w:hAnsi="Times New Roman"/>
          <w:bCs/>
          <w:sz w:val="24"/>
          <w:szCs w:val="28"/>
          <w:lang w:eastAsia="ro-RO"/>
        </w:rPr>
        <w:lastRenderedPageBreak/>
        <w:t>Î</w:t>
      </w:r>
      <w:r w:rsidRPr="00250C7F">
        <w:rPr>
          <w:rFonts w:ascii="Times New Roman" w:eastAsia="Times New Roman" w:hAnsi="Times New Roman"/>
          <w:sz w:val="24"/>
          <w:szCs w:val="28"/>
          <w:lang w:eastAsia="ro-RO"/>
        </w:rPr>
        <w:t xml:space="preserve">mpotriva deciziei sus-menţionate a declarat recurs </w:t>
      </w:r>
      <w:r w:rsidRPr="00250C7F">
        <w:rPr>
          <w:rFonts w:ascii="Times New Roman" w:hAnsi="Times New Roman"/>
          <w:sz w:val="24"/>
          <w:szCs w:val="28"/>
        </w:rPr>
        <w:t>reclamanta Societatea A. SA</w:t>
      </w:r>
      <w:r w:rsidRPr="00250C7F">
        <w:rPr>
          <w:rFonts w:ascii="Times New Roman" w:eastAsia="Times New Roman" w:hAnsi="Times New Roman"/>
          <w:sz w:val="24"/>
          <w:szCs w:val="28"/>
          <w:lang w:eastAsia="ro-RO"/>
        </w:rPr>
        <w:t xml:space="preserve">, invocând dispoziţiile art. 488 alin. 1 pct. 8 C. proc. civ., în temeiul cărora a solicitat </w:t>
      </w:r>
      <w:r w:rsidRPr="00250C7F">
        <w:rPr>
          <w:rFonts w:ascii="Times New Roman" w:hAnsi="Times New Roman"/>
          <w:sz w:val="24"/>
          <w:szCs w:val="28"/>
        </w:rPr>
        <w:t>admiterea recursului şi casarea în tot a hotărârii atacate şi trimiterea cauzei spre o nouă judecată instanţei de apel, cu cheltuieli de judecată.</w:t>
      </w:r>
    </w:p>
    <w:p w14:paraId="0A205621"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eastAsia="Times New Roman" w:hAnsi="Times New Roman"/>
          <w:sz w:val="24"/>
          <w:szCs w:val="28"/>
          <w:lang w:eastAsia="ro-RO"/>
        </w:rPr>
        <w:t xml:space="preserve">În motivarea recursului, </w:t>
      </w:r>
      <w:r w:rsidRPr="00250C7F">
        <w:rPr>
          <w:rFonts w:ascii="Times New Roman" w:hAnsi="Times New Roman"/>
          <w:bCs/>
          <w:sz w:val="24"/>
          <w:szCs w:val="28"/>
        </w:rPr>
        <w:t xml:space="preserve">s-a susţinut că hotărârea recurată a fost </w:t>
      </w:r>
      <w:r w:rsidRPr="00250C7F">
        <w:rPr>
          <w:rFonts w:ascii="Times New Roman" w:hAnsi="Times New Roman"/>
          <w:sz w:val="24"/>
          <w:szCs w:val="28"/>
        </w:rPr>
        <w:t>dată cu încălcarea şi aplicarea greşită a normelor de drept material,</w:t>
      </w:r>
      <w:r w:rsidRPr="00250C7F">
        <w:rPr>
          <w:rFonts w:ascii="Times New Roman" w:hAnsi="Times New Roman"/>
          <w:color w:val="FF0000"/>
          <w:sz w:val="24"/>
          <w:szCs w:val="28"/>
        </w:rPr>
        <w:t xml:space="preserve"> </w:t>
      </w:r>
      <w:r w:rsidRPr="00250C7F">
        <w:rPr>
          <w:rFonts w:ascii="Times New Roman" w:hAnsi="Times New Roman"/>
          <w:sz w:val="24"/>
          <w:szCs w:val="28"/>
        </w:rPr>
        <w:t>arătându-se, sub un prim aspect, că au fost încălcate prevederile art. 153</w:t>
      </w:r>
      <w:r w:rsidRPr="00250C7F">
        <w:rPr>
          <w:rFonts w:ascii="Times New Roman" w:hAnsi="Times New Roman"/>
          <w:sz w:val="24"/>
          <w:szCs w:val="28"/>
          <w:vertAlign w:val="superscript"/>
        </w:rPr>
        <w:t>22</w:t>
      </w:r>
      <w:r w:rsidRPr="00250C7F">
        <w:rPr>
          <w:rFonts w:ascii="Times New Roman" w:hAnsi="Times New Roman"/>
          <w:sz w:val="24"/>
          <w:szCs w:val="28"/>
        </w:rPr>
        <w:t xml:space="preserve"> din Legea nr. 31/1990, în sensul că în mod greşit a apreciat instanţa de apel că acest text legal nu ar fi incident în speţă.</w:t>
      </w:r>
    </w:p>
    <w:p w14:paraId="1594EAE3"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Se susţine că, deşi promisiunea de vânzare-cumpărare a unui imobil nu este translativă de proprietate, aceasta conţine întocmai consimţământul promitentului - vânzător de a transmite dreptul de proprietate la data convenită, fiind necesar a fi îndeplinite condiţiile vânzării încă de la momentul încheierii promisiunii (consimţământ, obiect determinat şi licit, părţi, cauză), doar momentul întocmirii vânzării fiind amânat la un anume moment.</w:t>
      </w:r>
    </w:p>
    <w:p w14:paraId="0D03B11A"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 xml:space="preserve">Întrucât antecontractul de vânzare-cumpărare reprezintă un act juridic preparator de transfer al dreptului de proprietate, în cuprinsul căruia se regăsesc toate elementele aferente tranzacţiei (obiect, preţ şi condiţiile în care operează transferul dreptului de proprietate), sunt extrem de lămuritoare dispoziţiile art. 1669 alin. 1 C. civ., care prevăd că toate condiţiile de validitate ale vânzării trebuie să fie întrunite încă de la momentul încheierii promisiunii de vânzare cumpărare. </w:t>
      </w:r>
    </w:p>
    <w:p w14:paraId="61ADF37B"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Ca atare, consideră recurenta că cel puţin una din cele patru condiţii esenţiale pentru validitatea contractului prevăzute de dispoziţiile art. 1179 alin. 1 C. civ. nu este îndeplinită, respectiv cea a exprimării unui consimţământ valabil.</w:t>
      </w:r>
    </w:p>
    <w:p w14:paraId="6962A8FF"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Arătând că exprimarea în mod valabil a consimţământul unei societăţi poate fi realizată numai prin hotărârea adunării generale a acţionarilor, iar  lipsa unei hotărâri a adunării generale a acţionarilor echivalează cu lipsa consimţământului adunării generale a asociaţilor, care formează voinţa societăţii.</w:t>
      </w:r>
    </w:p>
    <w:p w14:paraId="08FA2D62"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În consecinţă, se arată că lipsa consimţământului societăţii, ce se putea exprima doar prin hotărârea adunării generale a acţionarilor, conduce la anularea actului juridic încheiat cu nerespectarea condiţiilor prevăzute de lege.</w:t>
      </w:r>
    </w:p>
    <w:p w14:paraId="00ABCDEA"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 xml:space="preserve">Din interpretarea </w:t>
      </w:r>
      <w:r w:rsidRPr="00250C7F">
        <w:rPr>
          <w:rFonts w:ascii="Times New Roman" w:hAnsi="Times New Roman"/>
          <w:i/>
          <w:sz w:val="24"/>
          <w:szCs w:val="28"/>
        </w:rPr>
        <w:t>per a contrario</w:t>
      </w:r>
      <w:r w:rsidRPr="00250C7F">
        <w:rPr>
          <w:rFonts w:ascii="Times New Roman" w:hAnsi="Times New Roman"/>
          <w:sz w:val="24"/>
          <w:szCs w:val="28"/>
        </w:rPr>
        <w:t xml:space="preserve"> a dispoziţiilor art. 55 din Legea 31/1990, sancţiunea care intervine în cazul încheierii unui act de înstrăinare cu încălcarea limitelor puterilor conferite organelor societăţii prin lege este nulitatea absolută, societatea nefiind valabil angajată faţă de terţi prin actul de transfer. </w:t>
      </w:r>
    </w:p>
    <w:p w14:paraId="5A073E28"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Dispoziţiile art. 153</w:t>
      </w:r>
      <w:r w:rsidRPr="00250C7F">
        <w:rPr>
          <w:rFonts w:ascii="Times New Roman" w:hAnsi="Times New Roman"/>
          <w:sz w:val="24"/>
          <w:szCs w:val="28"/>
          <w:vertAlign w:val="superscript"/>
        </w:rPr>
        <w:t>22</w:t>
      </w:r>
      <w:r w:rsidRPr="00250C7F">
        <w:rPr>
          <w:rFonts w:ascii="Times New Roman" w:hAnsi="Times New Roman"/>
          <w:sz w:val="24"/>
          <w:szCs w:val="28"/>
        </w:rPr>
        <w:t xml:space="preserve"> din Legea nr. 31/1990 fac trimitere la dispoziţiile art. 115 din Legea 31/1990, rezultând că transferul unui drept de proprietate cu privire la un imobil aflat în patrimoniul societăţii se poate realiza numai cu aprobarea prealabilă a adunării generale a acţionarilor.</w:t>
      </w:r>
    </w:p>
    <w:p w14:paraId="62E86E8E"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Prin urmare, întrucât antecontractul a fost încheiat cu depăşirea limitele puterilor prevăzute de lege pentru consiliul de administraţie, actul juridic preconizat nu poate fi considerat perfectat, întrucât interdicţia legală prevăzută de textul art. 153</w:t>
      </w:r>
      <w:r w:rsidRPr="00250C7F">
        <w:rPr>
          <w:rFonts w:ascii="Times New Roman" w:hAnsi="Times New Roman"/>
          <w:sz w:val="24"/>
          <w:szCs w:val="28"/>
          <w:vertAlign w:val="superscript"/>
        </w:rPr>
        <w:t>22</w:t>
      </w:r>
      <w:r w:rsidRPr="00250C7F">
        <w:rPr>
          <w:rFonts w:ascii="Times New Roman" w:hAnsi="Times New Roman"/>
          <w:sz w:val="24"/>
          <w:szCs w:val="28"/>
        </w:rPr>
        <w:t xml:space="preserve"> din Legea 31/1990 este imperativă pentru societăţile pe acţiuni, nefiind permise excepţii statutare, decât în sensul majorării cerinţelor de aprobare a acestor acte sau includerii altora.</w:t>
      </w:r>
    </w:p>
    <w:p w14:paraId="09E623B8"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 xml:space="preserve">Arătând că, în doctrină, s-a reţinut că antecontractul trebuie asimilat actelor de dispoziţie, datorită efectelor sale şi importanţei patrimoniale, recurenta consideră că se impun a fi avute în </w:t>
      </w:r>
      <w:r w:rsidRPr="00250C7F">
        <w:rPr>
          <w:rFonts w:ascii="Times New Roman" w:hAnsi="Times New Roman"/>
          <w:sz w:val="24"/>
          <w:szCs w:val="28"/>
        </w:rPr>
        <w:lastRenderedPageBreak/>
        <w:t>vedere şi dispoziţiile art. 70</w:t>
      </w:r>
      <w:r w:rsidRPr="00250C7F">
        <w:rPr>
          <w:rFonts w:ascii="Times New Roman" w:hAnsi="Times New Roman"/>
          <w:sz w:val="24"/>
          <w:szCs w:val="28"/>
          <w:vertAlign w:val="superscript"/>
        </w:rPr>
        <w:t>1</w:t>
      </w:r>
      <w:r w:rsidRPr="00250C7F">
        <w:rPr>
          <w:rFonts w:ascii="Times New Roman" w:hAnsi="Times New Roman"/>
          <w:sz w:val="24"/>
          <w:szCs w:val="28"/>
        </w:rPr>
        <w:t xml:space="preserve"> din Legea 31/1990, potrivit cărora: „Actele de dispoziţie asupra bunurilor unei societăţi comerciale pot fi încheiate în temeiul puterilor conferite reprezentanţilor legali ai societăţii, după caz, prin lege, actul constitutiv sau hotărârile organelor statutare ale societăţii adoptate în conformitate cu prevederile prezentei legi şi ale actului constitutiv al societăţii, nefiind necesară o procură specială şi în formă autentică în acest scop, chiar dacă actele de dispoziţie trebuie încheiate în formă autentică.” </w:t>
      </w:r>
    </w:p>
    <w:p w14:paraId="5CF4ED0F"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Legiuitorul asimilează antecontractul noţiunii de înstrăinare, câtă vreme, conform dispoziţiilor art. 627 alin. 4 C. civ., clauzele de inalienabilitate sunt subînţelese în contractele din care se naşte obligaţia de a transmite în viitor proprietatea, iar textul art. 60</w:t>
      </w:r>
      <w:r w:rsidRPr="00250C7F">
        <w:rPr>
          <w:rFonts w:ascii="Times New Roman" w:hAnsi="Times New Roman"/>
          <w:sz w:val="24"/>
          <w:szCs w:val="28"/>
          <w:vertAlign w:val="superscript"/>
        </w:rPr>
        <w:t>1</w:t>
      </w:r>
      <w:r w:rsidRPr="00250C7F">
        <w:rPr>
          <w:rFonts w:ascii="Times New Roman" w:hAnsi="Times New Roman"/>
          <w:sz w:val="24"/>
          <w:szCs w:val="28"/>
        </w:rPr>
        <w:t xml:space="preserve"> din Legea nr. 71/2011 prevede că antecontractele întră în categoria contractelor din care se naşte obligaţia de a transmite în viitor proprietatea.</w:t>
      </w:r>
    </w:p>
    <w:p w14:paraId="3B374086"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Nu în ultimul rând, se susţine că aplicabilitatea prevederilor art. 153</w:t>
      </w:r>
      <w:r w:rsidRPr="00250C7F">
        <w:rPr>
          <w:rFonts w:ascii="Times New Roman" w:hAnsi="Times New Roman"/>
          <w:sz w:val="24"/>
          <w:szCs w:val="28"/>
          <w:vertAlign w:val="superscript"/>
        </w:rPr>
        <w:t>22</w:t>
      </w:r>
      <w:r w:rsidRPr="00250C7F">
        <w:rPr>
          <w:rFonts w:ascii="Times New Roman" w:hAnsi="Times New Roman"/>
          <w:sz w:val="24"/>
          <w:szCs w:val="28"/>
        </w:rPr>
        <w:t xml:space="preserve"> din Legea 31/1990 rezultă şi din structura legii societăţilor, având în vedere că textul de lege invocat este încadrat în Secţiunea a III - a, Capitolul IV din Legea 31/1990, intitulat „Dispoziţii comune pentru sistemul unitar şi sistemul dualist”, şi stabileşte capacitatea juridică a organelor societăţii şi limitele lor de reprezentare cu privire la încheierea anumitor operaţiuni juridice cu un impact foarte mare asupra activităţii societăţii. </w:t>
      </w:r>
    </w:p>
    <w:p w14:paraId="51B339FB"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Astfel, actele cu privire la care se aplică limitarea de competenţă sunt actele de înstrăinare de bunuri din patrimoniul societăţii sau cele asimilate actelor de înstrăinare, iar limita de valoare până la care organele societăţii au deplină competenţă este de cel mult jumătate din valoarea contabilă a activelor societăţii la data încheierii actului juridic, astfel că, în situaţia în care actele juridice menţionate privesc bunuri de o valoare mai mare, operaţiunea nu se va putea face decât cu exprimarea consimţământului societăţii, prin luarea unei hotărâri de aprobare a acestei operaţiuni de către adunarea generală extraordinară a acţionarilor.</w:t>
      </w:r>
    </w:p>
    <w:p w14:paraId="63C44233"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i/>
          <w:sz w:val="24"/>
          <w:szCs w:val="28"/>
        </w:rPr>
        <w:t>Sub un al doilea aspect</w:t>
      </w:r>
      <w:r w:rsidRPr="00250C7F">
        <w:rPr>
          <w:rFonts w:ascii="Times New Roman" w:hAnsi="Times New Roman"/>
          <w:sz w:val="24"/>
          <w:szCs w:val="28"/>
        </w:rPr>
        <w:t>, recurenta-reclamantă a considerat că hotărârea atacată a fost dată cu încălcarea prevederilor art. 1237 şi 1238 C. civ., prin aceea că instanţa de apel a reţinut că aceste texte de lege nu sunt incidente în speţă, întrucât nu ar putea fi reţinută o cauză de nulitate absolută a antecontractului de vânzare-cumpărare pentru lipsa acordului adunării generale a asociaţilor, respectiv o cauză ilicită.</w:t>
      </w:r>
    </w:p>
    <w:p w14:paraId="7B2C8D91"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Referitor la frauda la lege, invocată prin raportare la prevederile art. 1237 C. civ., recurenta reiterează faptul că prin încheierea antecontractului au fost eludate prevederile imperative ale art. 153</w:t>
      </w:r>
      <w:r w:rsidRPr="00250C7F">
        <w:rPr>
          <w:rFonts w:ascii="Times New Roman" w:hAnsi="Times New Roman"/>
          <w:sz w:val="24"/>
          <w:szCs w:val="28"/>
          <w:vertAlign w:val="superscript"/>
        </w:rPr>
        <w:t>22</w:t>
      </w:r>
      <w:r w:rsidRPr="00250C7F">
        <w:rPr>
          <w:rFonts w:ascii="Times New Roman" w:hAnsi="Times New Roman"/>
          <w:sz w:val="24"/>
          <w:szCs w:val="28"/>
        </w:rPr>
        <w:t xml:space="preserve"> din Legea 31/1990, care obligau părţile să obţină acordul adunării generale a acţionarilor prealabil încheierii antecontractului.</w:t>
      </w:r>
    </w:p>
    <w:p w14:paraId="773FFB38"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 xml:space="preserve">Din analiza prevederilor antecontractului rezultă că ambele părţi au avut cunoştinţă de această obligaţie legală imperativă, însă acestea au preferat să încheie antecontractul cu încălcarea prevederilor legale, prefaţând, totodată, o confirmare ulterioară a antecontractului de către adunarea generală extraordinară a asociaţilor. </w:t>
      </w:r>
    </w:p>
    <w:p w14:paraId="6C9583CF"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 xml:space="preserve">Or, recurenta-reclamantă a susţinut că nu era posibilă confirmarea antecontractului, în raport cu prevederile 1247 alin. 4 C. civ., nici instanţa de judecată neputând suplini voinţa societăţii. </w:t>
      </w:r>
    </w:p>
    <w:p w14:paraId="3EEE8EC4"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t>Pe cale de consecinţă, fiind în prezenţa unei cauze ilicite, sub forma fraudei la lege, sancţiunea aplicabilă antecontractului este aceea a nulităţii absolute, conform prevederilor art. 1238 alin. 2 C. civ., cu atât mai mult cu cât cauza ilicită era cunoscută ambelor părţi contractante.</w:t>
      </w:r>
    </w:p>
    <w:p w14:paraId="60E7C4B3"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hAnsi="Times New Roman"/>
          <w:sz w:val="24"/>
          <w:szCs w:val="28"/>
        </w:rPr>
        <w:lastRenderedPageBreak/>
        <w:t>Pârâţii nu se pot prevala de necunoaşterea legii sau de caracterul imperativ al prevederilor art. 153</w:t>
      </w:r>
      <w:r w:rsidRPr="00250C7F">
        <w:rPr>
          <w:rFonts w:ascii="Times New Roman" w:hAnsi="Times New Roman"/>
          <w:sz w:val="24"/>
          <w:szCs w:val="28"/>
          <w:vertAlign w:val="superscript"/>
        </w:rPr>
        <w:t>22</w:t>
      </w:r>
      <w:r w:rsidRPr="00250C7F">
        <w:rPr>
          <w:rFonts w:ascii="Times New Roman" w:hAnsi="Times New Roman"/>
          <w:sz w:val="24"/>
          <w:szCs w:val="28"/>
        </w:rPr>
        <w:t xml:space="preserve"> din Legea nr. 31/1990, ei cunoscând prevederile actului constitutiv al societăţii recurente, după cum rezultă din clauza 1.5 din antecontract.</w:t>
      </w:r>
    </w:p>
    <w:p w14:paraId="3671FC84" w14:textId="77777777" w:rsidR="00B951CE" w:rsidRPr="00250C7F" w:rsidRDefault="00B951CE" w:rsidP="00B951CE">
      <w:pPr>
        <w:spacing w:after="0" w:line="276" w:lineRule="auto"/>
        <w:ind w:firstLine="709"/>
        <w:jc w:val="both"/>
        <w:rPr>
          <w:rFonts w:ascii="Times New Roman" w:eastAsia="Times New Roman" w:hAnsi="Times New Roman"/>
          <w:sz w:val="24"/>
          <w:szCs w:val="28"/>
          <w:lang w:eastAsia="ro-RO"/>
        </w:rPr>
      </w:pPr>
      <w:r w:rsidRPr="00250C7F">
        <w:rPr>
          <w:rFonts w:ascii="Times New Roman" w:eastAsia="Times New Roman" w:hAnsi="Times New Roman"/>
          <w:sz w:val="24"/>
          <w:szCs w:val="28"/>
          <w:lang w:eastAsia="ro-RO"/>
        </w:rPr>
        <w:t>Prin întâmpinare, intimaţii - pârâţi au solicitat respingerea recursului, ca nefondat, arătând că promisiunea de vânzare - cumpărare nu este un act translativ de proprietate, ceea ce face să nu fie incidente dispoziţiile art.155</w:t>
      </w:r>
      <w:r w:rsidRPr="00250C7F">
        <w:rPr>
          <w:rFonts w:ascii="Times New Roman" w:eastAsia="Times New Roman" w:hAnsi="Times New Roman"/>
          <w:sz w:val="24"/>
          <w:szCs w:val="28"/>
          <w:vertAlign w:val="superscript"/>
          <w:lang w:eastAsia="ro-RO"/>
        </w:rPr>
        <w:t>22</w:t>
      </w:r>
      <w:r w:rsidRPr="00250C7F">
        <w:rPr>
          <w:rFonts w:ascii="Times New Roman" w:eastAsia="Times New Roman" w:hAnsi="Times New Roman"/>
          <w:sz w:val="24"/>
          <w:szCs w:val="28"/>
          <w:lang w:eastAsia="ro-RO"/>
        </w:rPr>
        <w:t xml:space="preserve"> din Legea nr.31/1990.</w:t>
      </w:r>
    </w:p>
    <w:p w14:paraId="4DF12699" w14:textId="77777777" w:rsidR="00B951CE" w:rsidRPr="00250C7F" w:rsidRDefault="00B951CE" w:rsidP="00B951CE">
      <w:pPr>
        <w:spacing w:after="0" w:line="276" w:lineRule="auto"/>
        <w:ind w:firstLine="709"/>
        <w:jc w:val="both"/>
        <w:rPr>
          <w:rFonts w:ascii="Times New Roman" w:eastAsia="Times New Roman" w:hAnsi="Times New Roman"/>
          <w:sz w:val="24"/>
          <w:szCs w:val="28"/>
          <w:lang w:eastAsia="ro-RO"/>
        </w:rPr>
      </w:pPr>
      <w:r w:rsidRPr="00250C7F">
        <w:rPr>
          <w:rFonts w:ascii="Times New Roman" w:eastAsia="Times New Roman" w:hAnsi="Times New Roman"/>
          <w:sz w:val="24"/>
          <w:szCs w:val="28"/>
          <w:lang w:eastAsia="ro-RO"/>
        </w:rPr>
        <w:t>Recurenta - reclamantă a depus răspuns la întâmpinare.</w:t>
      </w:r>
    </w:p>
    <w:p w14:paraId="5B206424" w14:textId="77777777" w:rsidR="00FA2689" w:rsidRPr="00250C7F" w:rsidRDefault="00B951CE" w:rsidP="00FA2689">
      <w:pPr>
        <w:spacing w:after="0" w:line="276" w:lineRule="auto"/>
        <w:ind w:firstLine="708"/>
        <w:jc w:val="both"/>
        <w:rPr>
          <w:rFonts w:ascii="Times New Roman" w:eastAsia="Times New Roman" w:hAnsi="Times New Roman"/>
          <w:sz w:val="24"/>
          <w:szCs w:val="28"/>
        </w:rPr>
      </w:pPr>
      <w:r w:rsidRPr="00250C7F">
        <w:rPr>
          <w:rFonts w:ascii="Times New Roman" w:eastAsia="Times New Roman" w:hAnsi="Times New Roman"/>
          <w:sz w:val="24"/>
          <w:szCs w:val="28"/>
        </w:rPr>
        <w:t>În cauză, în conformitate cu dispozițiile art. 493 alin. 3 C. proc. civ., a fost întocmit raportul asupra admisibilit</w:t>
      </w:r>
      <w:r w:rsidR="00FA2689" w:rsidRPr="00250C7F">
        <w:rPr>
          <w:rFonts w:ascii="Times New Roman" w:eastAsia="Times New Roman" w:hAnsi="Times New Roman"/>
          <w:sz w:val="24"/>
          <w:szCs w:val="28"/>
        </w:rPr>
        <w:t>ății în principiu a recursului.</w:t>
      </w:r>
    </w:p>
    <w:p w14:paraId="5E0DAAC1" w14:textId="6DFE982A" w:rsidR="00B951CE" w:rsidRPr="00250C7F" w:rsidRDefault="00B951CE" w:rsidP="00FA2689">
      <w:pPr>
        <w:spacing w:after="0" w:line="276" w:lineRule="auto"/>
        <w:ind w:firstLine="708"/>
        <w:jc w:val="both"/>
        <w:rPr>
          <w:rFonts w:ascii="Times New Roman" w:eastAsia="Times New Roman" w:hAnsi="Times New Roman"/>
          <w:sz w:val="24"/>
          <w:szCs w:val="28"/>
        </w:rPr>
      </w:pPr>
      <w:r w:rsidRPr="00250C7F">
        <w:rPr>
          <w:rFonts w:ascii="Times New Roman" w:eastAsia="Times New Roman" w:hAnsi="Times New Roman"/>
          <w:sz w:val="24"/>
          <w:szCs w:val="28"/>
        </w:rPr>
        <w:t xml:space="preserve">Prin încheierea de şedinţă din data de 7 octombrie 2020, Înalta Curte a admis in principiu </w:t>
      </w:r>
      <w:r w:rsidRPr="00250C7F">
        <w:rPr>
          <w:rFonts w:ascii="Times New Roman" w:hAnsi="Times New Roman"/>
          <w:sz w:val="24"/>
          <w:szCs w:val="28"/>
        </w:rPr>
        <w:t>recursul şi a fixat termen pentru judecarea acestuia în ședință publică.</w:t>
      </w:r>
    </w:p>
    <w:p w14:paraId="4D5CA519" w14:textId="77777777" w:rsidR="00B951CE" w:rsidRPr="00250C7F" w:rsidRDefault="00B951CE" w:rsidP="00B951CE">
      <w:pPr>
        <w:spacing w:after="0" w:line="276" w:lineRule="auto"/>
        <w:ind w:firstLine="708"/>
        <w:jc w:val="both"/>
        <w:rPr>
          <w:rFonts w:ascii="Times New Roman" w:eastAsia="Times New Roman" w:hAnsi="Times New Roman"/>
          <w:i/>
          <w:sz w:val="24"/>
          <w:szCs w:val="28"/>
        </w:rPr>
      </w:pPr>
      <w:r w:rsidRPr="00250C7F">
        <w:rPr>
          <w:rFonts w:ascii="Times New Roman" w:eastAsia="Times New Roman" w:hAnsi="Times New Roman"/>
          <w:i/>
          <w:sz w:val="24"/>
          <w:szCs w:val="28"/>
        </w:rPr>
        <w:t>Analizând recursul formulat de</w:t>
      </w:r>
      <w:r w:rsidRPr="00250C7F">
        <w:rPr>
          <w:rFonts w:ascii="Times New Roman" w:hAnsi="Times New Roman"/>
          <w:i/>
          <w:sz w:val="24"/>
          <w:szCs w:val="28"/>
        </w:rPr>
        <w:t xml:space="preserve"> reclamanta</w:t>
      </w:r>
      <w:r w:rsidRPr="00250C7F">
        <w:rPr>
          <w:rFonts w:ascii="Times New Roman" w:eastAsia="Times New Roman" w:hAnsi="Times New Roman"/>
          <w:bCs/>
          <w:i/>
          <w:color w:val="000000"/>
          <w:sz w:val="24"/>
          <w:szCs w:val="28"/>
          <w:lang w:eastAsia="ro-RO"/>
        </w:rPr>
        <w:t xml:space="preserve"> S.C. A. S.A., </w:t>
      </w:r>
      <w:r w:rsidRPr="00250C7F">
        <w:rPr>
          <w:rFonts w:ascii="Times New Roman" w:eastAsia="Times New Roman" w:hAnsi="Times New Roman"/>
          <w:i/>
          <w:sz w:val="24"/>
          <w:szCs w:val="28"/>
        </w:rPr>
        <w:t>Înalta Curte de Casaţie şi Justiţie a reţinut următoarele:</w:t>
      </w:r>
    </w:p>
    <w:p w14:paraId="76369B00" w14:textId="77777777" w:rsidR="00B951CE" w:rsidRPr="00250C7F" w:rsidRDefault="00B951CE" w:rsidP="00B951CE">
      <w:pPr>
        <w:spacing w:after="0" w:line="276" w:lineRule="auto"/>
        <w:ind w:firstLine="709"/>
        <w:jc w:val="both"/>
        <w:rPr>
          <w:rFonts w:ascii="Times New Roman" w:hAnsi="Times New Roman"/>
          <w:color w:val="000000"/>
          <w:sz w:val="24"/>
          <w:szCs w:val="28"/>
        </w:rPr>
      </w:pPr>
      <w:r w:rsidRPr="00250C7F">
        <w:rPr>
          <w:rFonts w:ascii="Times New Roman" w:hAnsi="Times New Roman"/>
          <w:sz w:val="24"/>
          <w:szCs w:val="28"/>
        </w:rPr>
        <w:t xml:space="preserve">Situaţia de fapt, așa cum a fost stabilită în etapele anterioare ale procesului, constă în  încheierea, </w:t>
      </w:r>
      <w:r w:rsidRPr="00250C7F">
        <w:rPr>
          <w:rFonts w:ascii="Times New Roman" w:hAnsi="Times New Roman"/>
          <w:color w:val="000000"/>
          <w:sz w:val="24"/>
          <w:szCs w:val="28"/>
        </w:rPr>
        <w:t xml:space="preserve">la data de 03.08.2012, a unui  antecontract de vânzare cumpărare între reclamanta SC A. SA, în calitate de promitent - vânzător şi D., acţionar majoritar, pe de-o parte, şi promitenţii - cumpărători B. şi C., pe de altă parte. Obiectul antecontractului este reprezentat de obligaţia fermă şi irevocabilă asumată de promitenta - vânzătoare de a vinde promitenţilor cumpărători, respectiv de obligaţia cumpărătorilor de a cumpăra şi plăti preţul pentru dreptul de proprietate asupra imobilelor situate în Târgu-Mureş, str. X nr. 101, jud. Mureş. </w:t>
      </w:r>
    </w:p>
    <w:p w14:paraId="27E556EC" w14:textId="77777777" w:rsidR="00B951CE" w:rsidRPr="00250C7F" w:rsidRDefault="00B951CE" w:rsidP="00B951CE">
      <w:pPr>
        <w:spacing w:after="0" w:line="276" w:lineRule="auto"/>
        <w:ind w:firstLine="851"/>
        <w:jc w:val="both"/>
        <w:rPr>
          <w:rFonts w:ascii="Times New Roman" w:eastAsia="SimSun" w:hAnsi="Times New Roman" w:cs="Times New Roman"/>
          <w:sz w:val="24"/>
          <w:szCs w:val="28"/>
          <w:lang w:eastAsia="zh-CN"/>
        </w:rPr>
      </w:pPr>
      <w:r w:rsidRPr="00250C7F">
        <w:rPr>
          <w:rFonts w:ascii="Times New Roman" w:eastAsia="SimSun" w:hAnsi="Times New Roman" w:cs="Times New Roman"/>
          <w:color w:val="000000"/>
          <w:sz w:val="24"/>
          <w:szCs w:val="28"/>
          <w:lang w:eastAsia="zh-CN"/>
        </w:rPr>
        <w:t xml:space="preserve">Motivele de nulitate absolută a actului juridic anterior menţionat, astfel cum au fost deduse judecăţii de reclamanta SC A. SA, rezidă în nesocotirea dispoziţiilor art. 153 ind. 22 din Legea nr. 31/1990 privind necesitatea obţinerii acordului adunării generale extraordinare a asociaţilor inclusiv pentru încheierea actelor de tipul antecontractului ce face obiectul acţiunii, şi, subsumat nerespectării acestei dispoziţii legale imperative, frauda la </w:t>
      </w:r>
      <w:r w:rsidRPr="00250C7F">
        <w:rPr>
          <w:rFonts w:ascii="Times New Roman" w:eastAsia="SimSun" w:hAnsi="Times New Roman" w:cs="Times New Roman"/>
          <w:sz w:val="24"/>
          <w:szCs w:val="28"/>
          <w:lang w:eastAsia="zh-CN"/>
        </w:rPr>
        <w:t>lege şi existenţa unei cauze ilicite.</w:t>
      </w:r>
    </w:p>
    <w:p w14:paraId="24446265" w14:textId="77777777" w:rsidR="00B951CE" w:rsidRPr="00250C7F" w:rsidRDefault="00B951CE" w:rsidP="00B951CE">
      <w:pPr>
        <w:spacing w:after="0" w:line="276" w:lineRule="auto"/>
        <w:ind w:firstLine="709"/>
        <w:jc w:val="both"/>
        <w:rPr>
          <w:rFonts w:ascii="Times New Roman" w:hAnsi="Times New Roman"/>
          <w:sz w:val="24"/>
          <w:szCs w:val="28"/>
        </w:rPr>
      </w:pPr>
      <w:r w:rsidRPr="00250C7F">
        <w:rPr>
          <w:rFonts w:ascii="Times New Roman" w:eastAsia="Times New Roman" w:hAnsi="Times New Roman"/>
          <w:sz w:val="24"/>
          <w:szCs w:val="28"/>
        </w:rPr>
        <w:t xml:space="preserve">Recurenta-reclamantă invocă, în cadrul recursului formulat, motivul de nelegalitate prevăzut de dispoziţiile art. 488 alin.1 pct. 8 C. proc. civ., arătând </w:t>
      </w:r>
      <w:r w:rsidRPr="00250C7F">
        <w:rPr>
          <w:rFonts w:ascii="Times New Roman" w:hAnsi="Times New Roman"/>
          <w:sz w:val="24"/>
          <w:szCs w:val="28"/>
        </w:rPr>
        <w:t>că au fost încălcate prevederile art. 153</w:t>
      </w:r>
      <w:r w:rsidRPr="00250C7F">
        <w:rPr>
          <w:rFonts w:ascii="Times New Roman" w:hAnsi="Times New Roman"/>
          <w:sz w:val="24"/>
          <w:szCs w:val="28"/>
          <w:vertAlign w:val="superscript"/>
        </w:rPr>
        <w:t>22</w:t>
      </w:r>
      <w:r w:rsidRPr="00250C7F">
        <w:rPr>
          <w:rFonts w:ascii="Times New Roman" w:hAnsi="Times New Roman"/>
          <w:sz w:val="24"/>
          <w:szCs w:val="28"/>
        </w:rPr>
        <w:t xml:space="preserve"> din Legea nr. 31/1990, în sensul că în mod greşit a apreciat instanţa de apel că acest text legal nu ar fi incident în speţă şi, în strânsă legătură cu această critică, că hotărârea atacată a fost dată cu încălcarea prevederilor art. 1237 şi 1238 C. civ., prin aceea că instanţa de apel a reţinut că aceste texte de lege nu sunt aplicabile în cauză, întrucât nu ar putea fi reţinută frauda la lege, respectiv cauza ilicită, cu toate că prin încheierea antecontractului au fost eludate prevederile imperative ale art. 153</w:t>
      </w:r>
      <w:r w:rsidRPr="00250C7F">
        <w:rPr>
          <w:rFonts w:ascii="Times New Roman" w:hAnsi="Times New Roman"/>
          <w:sz w:val="24"/>
          <w:szCs w:val="28"/>
          <w:vertAlign w:val="superscript"/>
        </w:rPr>
        <w:t>22</w:t>
      </w:r>
      <w:r w:rsidRPr="00250C7F">
        <w:rPr>
          <w:rFonts w:ascii="Times New Roman" w:hAnsi="Times New Roman"/>
          <w:sz w:val="24"/>
          <w:szCs w:val="28"/>
        </w:rPr>
        <w:t xml:space="preserve"> din Legea 31/1990, care obligau părţile să obţină acordul adunării generale a acţionarilor prealabil încheierii antecontractului.</w:t>
      </w:r>
    </w:p>
    <w:p w14:paraId="6E7F7B2E" w14:textId="77777777" w:rsidR="00B951CE" w:rsidRPr="00250C7F" w:rsidRDefault="00B951CE" w:rsidP="00B951CE">
      <w:pPr>
        <w:spacing w:after="0" w:line="276" w:lineRule="auto"/>
        <w:ind w:firstLine="708"/>
        <w:jc w:val="both"/>
        <w:rPr>
          <w:rFonts w:ascii="Times New Roman" w:hAnsi="Times New Roman"/>
          <w:sz w:val="24"/>
          <w:szCs w:val="28"/>
          <w:shd w:val="clear" w:color="auto" w:fill="FFFFFF"/>
        </w:rPr>
      </w:pPr>
      <w:r w:rsidRPr="00250C7F">
        <w:rPr>
          <w:rFonts w:ascii="Times New Roman" w:hAnsi="Times New Roman"/>
          <w:sz w:val="24"/>
          <w:szCs w:val="28"/>
          <w:shd w:val="clear" w:color="auto" w:fill="FFFFFF"/>
        </w:rPr>
        <w:t>Pornind de la aceste precizări prealabile, Înalta Curte constată că aspectele de nelegalitate invocate de recurenta - reclamantă nu pot fi reţinute.</w:t>
      </w:r>
    </w:p>
    <w:p w14:paraId="2BA58049" w14:textId="77777777" w:rsidR="00B951CE" w:rsidRPr="00250C7F" w:rsidRDefault="00B951CE" w:rsidP="00B951CE">
      <w:pPr>
        <w:spacing w:after="0" w:line="276" w:lineRule="auto"/>
        <w:ind w:firstLine="708"/>
        <w:jc w:val="both"/>
        <w:rPr>
          <w:rFonts w:ascii="Times New Roman" w:eastAsia="Times New Roman" w:hAnsi="Times New Roman"/>
          <w:bCs/>
          <w:sz w:val="24"/>
          <w:szCs w:val="28"/>
        </w:rPr>
      </w:pPr>
      <w:r w:rsidRPr="00250C7F">
        <w:rPr>
          <w:rFonts w:ascii="Times New Roman" w:hAnsi="Times New Roman"/>
          <w:sz w:val="24"/>
          <w:szCs w:val="28"/>
          <w:shd w:val="clear" w:color="auto" w:fill="FFFFFF"/>
        </w:rPr>
        <w:t xml:space="preserve">Astfel, </w:t>
      </w:r>
      <w:r w:rsidRPr="00250C7F">
        <w:rPr>
          <w:rFonts w:ascii="Times New Roman" w:hAnsi="Times New Roman"/>
          <w:sz w:val="24"/>
          <w:szCs w:val="28"/>
        </w:rPr>
        <w:t>art. 153</w:t>
      </w:r>
      <w:r w:rsidRPr="00250C7F">
        <w:rPr>
          <w:rFonts w:ascii="Times New Roman" w:hAnsi="Times New Roman"/>
          <w:sz w:val="24"/>
          <w:szCs w:val="28"/>
          <w:vertAlign w:val="superscript"/>
        </w:rPr>
        <w:t>22</w:t>
      </w:r>
      <w:r w:rsidRPr="00250C7F">
        <w:rPr>
          <w:rFonts w:ascii="Times New Roman" w:hAnsi="Times New Roman"/>
          <w:sz w:val="24"/>
          <w:szCs w:val="28"/>
        </w:rPr>
        <w:t xml:space="preserve"> din Legea 31/1990 </w:t>
      </w:r>
      <w:r w:rsidRPr="00250C7F">
        <w:rPr>
          <w:rFonts w:ascii="Times New Roman" w:eastAsia="Times New Roman" w:hAnsi="Times New Roman"/>
          <w:bCs/>
          <w:sz w:val="24"/>
          <w:szCs w:val="28"/>
        </w:rPr>
        <w:t>prevede următoarele:</w:t>
      </w:r>
    </w:p>
    <w:p w14:paraId="07372BA4" w14:textId="77777777" w:rsidR="00B951CE" w:rsidRPr="00250C7F" w:rsidRDefault="00B951CE" w:rsidP="00B951CE">
      <w:pPr>
        <w:autoSpaceDE w:val="0"/>
        <w:autoSpaceDN w:val="0"/>
        <w:adjustRightInd w:val="0"/>
        <w:spacing w:after="0" w:line="276" w:lineRule="auto"/>
        <w:ind w:firstLine="708"/>
        <w:jc w:val="both"/>
        <w:rPr>
          <w:rFonts w:ascii="Times New Roman" w:hAnsi="Times New Roman"/>
          <w:i/>
          <w:iCs/>
          <w:sz w:val="24"/>
          <w:szCs w:val="28"/>
        </w:rPr>
      </w:pPr>
      <w:r w:rsidRPr="00250C7F">
        <w:rPr>
          <w:rFonts w:ascii="Times New Roman" w:hAnsi="Times New Roman"/>
          <w:i/>
          <w:iCs/>
          <w:sz w:val="24"/>
          <w:szCs w:val="28"/>
        </w:rPr>
        <w:t>„Consiliul de administraţie, respectiv directoratul, va putea să încheie acte juridice în numele şi în contul societăţii, prin care să dobândească bunuri pentru aceasta sau să înstrăineze, să închirieze, să schimbe ori să constituie în garanţie bunuri aflate în patrimoniul societăţii, a căror valoare depăşeşte jumătate din valoarea contabilă a activelor societăţii la data încheierii actului juridic, numai cu aprobarea adunării generale a acţionarilor, dată în condiţiile art. 115.”</w:t>
      </w:r>
    </w:p>
    <w:p w14:paraId="6A91F21D" w14:textId="77777777" w:rsidR="00B951CE" w:rsidRPr="00250C7F" w:rsidRDefault="00B951CE" w:rsidP="00B951CE">
      <w:pPr>
        <w:autoSpaceDE w:val="0"/>
        <w:autoSpaceDN w:val="0"/>
        <w:adjustRightInd w:val="0"/>
        <w:spacing w:after="0" w:line="276" w:lineRule="auto"/>
        <w:ind w:firstLine="708"/>
        <w:jc w:val="both"/>
        <w:rPr>
          <w:rFonts w:ascii="Times New Roman" w:hAnsi="Times New Roman"/>
          <w:color w:val="000000"/>
          <w:sz w:val="24"/>
          <w:szCs w:val="28"/>
        </w:rPr>
      </w:pPr>
      <w:r w:rsidRPr="00250C7F">
        <w:rPr>
          <w:rFonts w:ascii="Times New Roman" w:hAnsi="Times New Roman"/>
          <w:iCs/>
          <w:sz w:val="24"/>
          <w:szCs w:val="28"/>
        </w:rPr>
        <w:lastRenderedPageBreak/>
        <w:t>Analiza textului de lege redat</w:t>
      </w:r>
      <w:r w:rsidRPr="00250C7F">
        <w:rPr>
          <w:rFonts w:ascii="Times New Roman" w:hAnsi="Times New Roman"/>
          <w:i/>
          <w:iCs/>
          <w:sz w:val="24"/>
          <w:szCs w:val="28"/>
        </w:rPr>
        <w:t xml:space="preserve"> </w:t>
      </w:r>
      <w:r w:rsidRPr="00250C7F">
        <w:rPr>
          <w:rFonts w:ascii="Times New Roman" w:hAnsi="Times New Roman"/>
          <w:iCs/>
          <w:sz w:val="24"/>
          <w:szCs w:val="28"/>
        </w:rPr>
        <w:t xml:space="preserve">confirmă ceea ce ambele instanțe de fond au reţinut în mod concordant, şi anume că </w:t>
      </w:r>
      <w:r w:rsidRPr="00250C7F">
        <w:rPr>
          <w:rFonts w:ascii="Times New Roman" w:hAnsi="Times New Roman"/>
          <w:color w:val="000000"/>
          <w:sz w:val="24"/>
          <w:szCs w:val="28"/>
        </w:rPr>
        <w:t>legiuitorul a reglementat în mod expres şi limitativ situaţiile în care este necesară aprobarea adunării generale a acţionarilor ca o condiţie de validitate a actului juridic încheiat în numele şi pe seama societăţii, antecontractul de vânzare cumpărare neîncadrându-se între acestea.</w:t>
      </w:r>
    </w:p>
    <w:p w14:paraId="7C0243EF" w14:textId="77777777" w:rsidR="00B951CE" w:rsidRPr="00250C7F" w:rsidRDefault="00B951CE" w:rsidP="00B951CE">
      <w:pPr>
        <w:autoSpaceDE w:val="0"/>
        <w:autoSpaceDN w:val="0"/>
        <w:adjustRightInd w:val="0"/>
        <w:spacing w:after="0" w:line="276" w:lineRule="auto"/>
        <w:ind w:firstLine="708"/>
        <w:jc w:val="both"/>
        <w:rPr>
          <w:rFonts w:ascii="Times New Roman" w:hAnsi="Times New Roman"/>
          <w:sz w:val="24"/>
          <w:szCs w:val="28"/>
        </w:rPr>
      </w:pPr>
      <w:r w:rsidRPr="00250C7F">
        <w:rPr>
          <w:rFonts w:ascii="Times New Roman" w:hAnsi="Times New Roman"/>
          <w:color w:val="000000"/>
          <w:sz w:val="24"/>
          <w:szCs w:val="28"/>
        </w:rPr>
        <w:t xml:space="preserve">Argumentele invocate de recurenta-reclamantă în susţinerea tezei asimilării antecontractului de vânzare-cumpărare unui act de dispoziţie, pentru a cărui încheiere valabilă ar fi necesară aprobarea </w:t>
      </w:r>
      <w:r w:rsidRPr="00250C7F">
        <w:rPr>
          <w:rFonts w:ascii="Times New Roman" w:hAnsi="Times New Roman"/>
          <w:sz w:val="24"/>
          <w:szCs w:val="28"/>
        </w:rPr>
        <w:t xml:space="preserve">adunării generale a acţionarilor, sunt în contradicţie, în primul rând, cu natura juridică a acestui </w:t>
      </w:r>
      <w:r w:rsidRPr="00250C7F">
        <w:rPr>
          <w:rFonts w:ascii="Times New Roman" w:hAnsi="Times New Roman"/>
          <w:i/>
          <w:sz w:val="24"/>
          <w:szCs w:val="28"/>
          <w:shd w:val="clear" w:color="auto" w:fill="FFFFFF"/>
        </w:rPr>
        <w:t>contract preparatoriu,</w:t>
      </w:r>
      <w:r w:rsidRPr="00250C7F">
        <w:rPr>
          <w:rFonts w:ascii="Times New Roman" w:hAnsi="Times New Roman"/>
          <w:sz w:val="24"/>
          <w:szCs w:val="28"/>
          <w:shd w:val="clear" w:color="auto" w:fill="FFFFFF"/>
        </w:rPr>
        <w:t xml:space="preserve"> anterior încheierii contractului de vânzare-cumpărare, a cărui necesitate practică este generată, de regulă, tocmai de existența unor impedimente  la încheierea contractului de vânzare-cumpărare propriu - zis.</w:t>
      </w:r>
      <w:r w:rsidRPr="00250C7F">
        <w:rPr>
          <w:rFonts w:ascii="Times New Roman" w:hAnsi="Times New Roman"/>
          <w:sz w:val="24"/>
          <w:szCs w:val="28"/>
        </w:rPr>
        <w:t xml:space="preserve">  </w:t>
      </w:r>
    </w:p>
    <w:p w14:paraId="7DF51C42" w14:textId="77777777" w:rsidR="00B951CE" w:rsidRPr="00250C7F" w:rsidRDefault="00B951CE" w:rsidP="00B951CE">
      <w:pPr>
        <w:autoSpaceDE w:val="0"/>
        <w:autoSpaceDN w:val="0"/>
        <w:adjustRightInd w:val="0"/>
        <w:spacing w:after="0" w:line="276" w:lineRule="auto"/>
        <w:ind w:firstLine="708"/>
        <w:jc w:val="both"/>
        <w:rPr>
          <w:rFonts w:ascii="Times New Roman" w:eastAsia="Times New Roman" w:hAnsi="Times New Roman"/>
          <w:i/>
          <w:iCs/>
          <w:sz w:val="24"/>
          <w:szCs w:val="28"/>
          <w:lang w:eastAsia="ro-RO"/>
        </w:rPr>
      </w:pPr>
      <w:r w:rsidRPr="00250C7F">
        <w:rPr>
          <w:rFonts w:ascii="Times New Roman" w:hAnsi="Times New Roman"/>
          <w:sz w:val="24"/>
          <w:szCs w:val="28"/>
        </w:rPr>
        <w:t>În acest sens se reţine că art. 1669 alin.</w:t>
      </w:r>
      <w:r w:rsidRPr="00250C7F">
        <w:rPr>
          <w:rFonts w:ascii="Georgia" w:eastAsia="Times New Roman" w:hAnsi="Georgia"/>
          <w:sz w:val="24"/>
          <w:szCs w:val="27"/>
          <w:lang w:eastAsia="ro-RO"/>
        </w:rPr>
        <w:t> </w:t>
      </w:r>
      <w:hyperlink r:id="rId13" w:tgtFrame="_blank" w:history="1">
        <w:r w:rsidRPr="00250C7F">
          <w:rPr>
            <w:rFonts w:ascii="Times New Roman" w:hAnsi="Times New Roman"/>
            <w:sz w:val="24"/>
            <w:szCs w:val="28"/>
            <w:shd w:val="clear" w:color="auto" w:fill="FFFFFF"/>
          </w:rPr>
          <w:t>1</w:t>
        </w:r>
      </w:hyperlink>
      <w:r w:rsidRPr="00250C7F">
        <w:rPr>
          <w:rFonts w:ascii="Times New Roman" w:hAnsi="Times New Roman"/>
          <w:sz w:val="24"/>
          <w:szCs w:val="28"/>
        </w:rPr>
        <w:t xml:space="preserve"> </w:t>
      </w:r>
      <w:r w:rsidRPr="00250C7F">
        <w:rPr>
          <w:rFonts w:ascii="Times New Roman" w:eastAsia="Times New Roman" w:hAnsi="Times New Roman"/>
          <w:sz w:val="24"/>
          <w:szCs w:val="28"/>
          <w:lang w:eastAsia="ro-RO"/>
        </w:rPr>
        <w:t>C. civ., pe care însăși recurenta-reclamantă îl invocă, prevede: </w:t>
      </w:r>
      <w:r w:rsidRPr="00250C7F">
        <w:rPr>
          <w:rFonts w:ascii="Times New Roman" w:eastAsia="Times New Roman" w:hAnsi="Times New Roman"/>
          <w:i/>
          <w:iCs/>
          <w:sz w:val="24"/>
          <w:szCs w:val="28"/>
          <w:lang w:eastAsia="ro-RO"/>
        </w:rPr>
        <w:t>„…când una dintre părţile care au încheiat o promisiune bilaterală de vânzare refuză, nejustificat, să încheie contractul promis, cealaltă parte poate cere pronunţarea unei hotărâri care să ţină loc de contract, dacă toate celelalte condiţii de validitate sunt îndeplinite.”</w:t>
      </w:r>
    </w:p>
    <w:p w14:paraId="3F4A1AAB" w14:textId="77777777" w:rsidR="00B951CE" w:rsidRPr="00250C7F" w:rsidRDefault="00B951CE" w:rsidP="00B951CE">
      <w:pPr>
        <w:autoSpaceDE w:val="0"/>
        <w:autoSpaceDN w:val="0"/>
        <w:adjustRightInd w:val="0"/>
        <w:spacing w:after="0" w:line="276" w:lineRule="auto"/>
        <w:ind w:firstLine="708"/>
        <w:jc w:val="both"/>
        <w:rPr>
          <w:rFonts w:ascii="Times New Roman" w:eastAsia="Times New Roman" w:hAnsi="Times New Roman"/>
          <w:sz w:val="24"/>
          <w:szCs w:val="28"/>
          <w:lang w:eastAsia="ro-RO"/>
        </w:rPr>
      </w:pPr>
      <w:r w:rsidRPr="00250C7F">
        <w:rPr>
          <w:rFonts w:ascii="Times New Roman" w:eastAsia="Times New Roman" w:hAnsi="Times New Roman"/>
          <w:sz w:val="24"/>
          <w:szCs w:val="28"/>
          <w:lang w:eastAsia="ro-RO"/>
        </w:rPr>
        <w:t xml:space="preserve">De asemenea,  </w:t>
      </w:r>
      <w:hyperlink r:id="rId14" w:tgtFrame="_blank" w:history="1">
        <w:r w:rsidRPr="00250C7F">
          <w:rPr>
            <w:rFonts w:ascii="Times New Roman" w:eastAsia="Times New Roman" w:hAnsi="Times New Roman"/>
            <w:sz w:val="24"/>
            <w:szCs w:val="28"/>
            <w:lang w:eastAsia="ro-RO"/>
          </w:rPr>
          <w:t>art. 1279 alin. (3)</w:t>
        </w:r>
      </w:hyperlink>
      <w:r w:rsidRPr="00250C7F">
        <w:rPr>
          <w:rFonts w:ascii="Times New Roman" w:eastAsia="Times New Roman" w:hAnsi="Times New Roman"/>
          <w:sz w:val="24"/>
          <w:szCs w:val="28"/>
          <w:lang w:eastAsia="ro-RO"/>
        </w:rPr>
        <w:t> C. civ. stabilește faptul că „</w:t>
      </w:r>
      <w:r w:rsidRPr="00250C7F">
        <w:rPr>
          <w:rFonts w:ascii="Times New Roman" w:eastAsia="Times New Roman" w:hAnsi="Times New Roman"/>
          <w:i/>
          <w:iCs/>
          <w:sz w:val="24"/>
          <w:szCs w:val="28"/>
          <w:lang w:eastAsia="ro-RO"/>
        </w:rPr>
        <w:t>…de asemenea, dacă promitentul refuză să încheie contractul promis, instanţa, la cererea părţii care şi-a îndeplinit propriile obligaţii, poate să pronunţe o hotărâre care să ţină loc de contract, atunci când natura contractului o permite, iar cerinţele legii pentru validitatea acestuia sunt îndeplinite.</w:t>
      </w:r>
      <w:r w:rsidRPr="00250C7F">
        <w:rPr>
          <w:rFonts w:ascii="Times New Roman" w:eastAsia="Times New Roman" w:hAnsi="Times New Roman"/>
          <w:sz w:val="24"/>
          <w:szCs w:val="28"/>
          <w:lang w:eastAsia="ro-RO"/>
        </w:rPr>
        <w:t>”</w:t>
      </w:r>
    </w:p>
    <w:p w14:paraId="18EDF45B" w14:textId="77777777" w:rsidR="00B951CE" w:rsidRPr="00250C7F" w:rsidRDefault="00B951CE" w:rsidP="00B951CE">
      <w:pPr>
        <w:autoSpaceDE w:val="0"/>
        <w:autoSpaceDN w:val="0"/>
        <w:adjustRightInd w:val="0"/>
        <w:spacing w:after="0" w:line="276" w:lineRule="auto"/>
        <w:ind w:firstLine="708"/>
        <w:jc w:val="both"/>
        <w:rPr>
          <w:rFonts w:ascii="Times New Roman" w:eastAsia="Times New Roman" w:hAnsi="Times New Roman"/>
          <w:sz w:val="24"/>
          <w:szCs w:val="28"/>
          <w:lang w:eastAsia="ro-RO"/>
        </w:rPr>
      </w:pPr>
      <w:r w:rsidRPr="00250C7F">
        <w:rPr>
          <w:rFonts w:ascii="Times New Roman" w:eastAsia="Times New Roman" w:hAnsi="Times New Roman"/>
          <w:iCs/>
          <w:sz w:val="24"/>
          <w:szCs w:val="28"/>
          <w:lang w:eastAsia="ro-RO"/>
        </w:rPr>
        <w:t>Contrar susţinerilor recurentei,</w:t>
      </w:r>
      <w:r w:rsidRPr="00250C7F">
        <w:rPr>
          <w:rFonts w:ascii="Times New Roman" w:hAnsi="Times New Roman"/>
          <w:sz w:val="24"/>
          <w:szCs w:val="28"/>
        </w:rPr>
        <w:t xml:space="preserve"> în sensul că textul redat ar stipula că toate condiţiile de validitate ale vânzării trebuie să fie întrunite încă de la momentul încheierii promisiunii de vânzare - cumpărare,</w:t>
      </w:r>
      <w:r w:rsidRPr="00250C7F">
        <w:rPr>
          <w:rFonts w:ascii="Times New Roman" w:eastAsia="Times New Roman" w:hAnsi="Times New Roman"/>
          <w:sz w:val="24"/>
          <w:szCs w:val="28"/>
          <w:lang w:eastAsia="ro-RO"/>
        </w:rPr>
        <w:t xml:space="preserve"> textul special aplicabil contractului de vânzare-cumpărare prevede posibilitatea solicitării pronunțării unei hotărâri care să țină loc de contract numai dacă „</w:t>
      </w:r>
      <w:r w:rsidRPr="00250C7F">
        <w:rPr>
          <w:rFonts w:ascii="Times New Roman" w:eastAsia="Times New Roman" w:hAnsi="Times New Roman"/>
          <w:i/>
          <w:iCs/>
          <w:sz w:val="24"/>
          <w:szCs w:val="28"/>
          <w:lang w:eastAsia="ro-RO"/>
        </w:rPr>
        <w:t>toate celelalte condiții de validitate</w:t>
      </w:r>
      <w:r w:rsidRPr="00250C7F">
        <w:rPr>
          <w:rFonts w:ascii="Times New Roman" w:eastAsia="Times New Roman" w:hAnsi="Times New Roman"/>
          <w:sz w:val="24"/>
          <w:szCs w:val="28"/>
          <w:lang w:eastAsia="ro-RO"/>
        </w:rPr>
        <w:t>” sunt îndeplinite, iar textul general în materia promisiunii de a contracta stabileşte necesitatea ca „</w:t>
      </w:r>
      <w:r w:rsidRPr="00250C7F">
        <w:rPr>
          <w:rFonts w:ascii="Times New Roman" w:eastAsia="Times New Roman" w:hAnsi="Times New Roman"/>
          <w:i/>
          <w:iCs/>
          <w:sz w:val="24"/>
          <w:szCs w:val="28"/>
          <w:lang w:eastAsia="ro-RO"/>
        </w:rPr>
        <w:t>cerințele legii pentru validitatea acesteia</w:t>
      </w:r>
      <w:r w:rsidRPr="00250C7F">
        <w:rPr>
          <w:rFonts w:ascii="Times New Roman" w:eastAsia="Times New Roman" w:hAnsi="Times New Roman"/>
          <w:sz w:val="24"/>
          <w:szCs w:val="28"/>
          <w:lang w:eastAsia="ro-RO"/>
        </w:rPr>
        <w:t xml:space="preserve">” să fie îndeplinite </w:t>
      </w:r>
      <w:r w:rsidRPr="00250C7F">
        <w:rPr>
          <w:rFonts w:ascii="Times New Roman" w:eastAsia="Times New Roman" w:hAnsi="Times New Roman"/>
          <w:iCs/>
          <w:sz w:val="24"/>
          <w:szCs w:val="28"/>
          <w:lang w:eastAsia="ro-RO"/>
        </w:rPr>
        <w:t>pentru a se putea pronunţa o hotărâre care să ţină loc de contract,</w:t>
      </w:r>
      <w:r w:rsidRPr="00250C7F">
        <w:rPr>
          <w:rFonts w:ascii="Times New Roman" w:eastAsia="Times New Roman" w:hAnsi="Times New Roman"/>
          <w:sz w:val="24"/>
          <w:szCs w:val="28"/>
          <w:lang w:eastAsia="ro-RO"/>
        </w:rPr>
        <w:t>.</w:t>
      </w:r>
    </w:p>
    <w:p w14:paraId="099EDA16" w14:textId="77777777" w:rsidR="00D45366" w:rsidRPr="00250C7F" w:rsidRDefault="00B951CE" w:rsidP="00D45366">
      <w:pPr>
        <w:autoSpaceDE w:val="0"/>
        <w:autoSpaceDN w:val="0"/>
        <w:adjustRightInd w:val="0"/>
        <w:spacing w:after="0" w:line="276" w:lineRule="auto"/>
        <w:ind w:firstLine="708"/>
        <w:jc w:val="both"/>
        <w:rPr>
          <w:rFonts w:ascii="PT Sans" w:hAnsi="PT Sans"/>
          <w:color w:val="2E2E2E"/>
          <w:sz w:val="19"/>
          <w:szCs w:val="21"/>
          <w:shd w:val="clear" w:color="auto" w:fill="FFFFFF"/>
        </w:rPr>
      </w:pPr>
      <w:r w:rsidRPr="00250C7F">
        <w:rPr>
          <w:rFonts w:ascii="Times New Roman" w:eastAsia="Times New Roman" w:hAnsi="Times New Roman"/>
          <w:sz w:val="24"/>
          <w:szCs w:val="28"/>
          <w:lang w:eastAsia="ro-RO"/>
        </w:rPr>
        <w:t xml:space="preserve">Cât priveşte dispoziţiile </w:t>
      </w:r>
      <w:r w:rsidRPr="00250C7F">
        <w:rPr>
          <w:rFonts w:ascii="Times New Roman" w:hAnsi="Times New Roman"/>
          <w:iCs/>
          <w:color w:val="000000"/>
          <w:sz w:val="24"/>
          <w:szCs w:val="28"/>
        </w:rPr>
        <w:t>art. 627 alin. 4 C. civ., coroborate cu cele ale art. 60 ind. 1 din Legea nr. 71/2011, instanţa de prim control judiciar a reţinut în mod corect că prezumarea de către legiuitor a c</w:t>
      </w:r>
      <w:r w:rsidRPr="00250C7F">
        <w:rPr>
          <w:rFonts w:ascii="Times New Roman" w:hAnsi="Times New Roman"/>
          <w:color w:val="000000"/>
          <w:sz w:val="24"/>
          <w:szCs w:val="28"/>
        </w:rPr>
        <w:t xml:space="preserve">lauzei de inalienabilitate şi în cazul </w:t>
      </w:r>
      <w:r w:rsidRPr="00250C7F">
        <w:rPr>
          <w:rFonts w:ascii="Times New Roman" w:hAnsi="Times New Roman"/>
          <w:iCs/>
          <w:sz w:val="24"/>
          <w:szCs w:val="28"/>
          <w:shd w:val="clear" w:color="auto" w:fill="FFFFFF"/>
        </w:rPr>
        <w:t>convențiilor din care se naște obligația de a transmite în viitor proprietatea către o persoană determinată sau determinabilă, categorie în care intră şi antecontractele</w:t>
      </w:r>
      <w:r w:rsidRPr="00250C7F">
        <w:rPr>
          <w:rFonts w:ascii="Times New Roman" w:hAnsi="Times New Roman"/>
          <w:i/>
          <w:iCs/>
          <w:sz w:val="24"/>
          <w:szCs w:val="28"/>
        </w:rPr>
        <w:t xml:space="preserve"> </w:t>
      </w:r>
      <w:r w:rsidRPr="00250C7F">
        <w:rPr>
          <w:rFonts w:ascii="Times New Roman" w:hAnsi="Times New Roman"/>
          <w:iCs/>
          <w:sz w:val="24"/>
          <w:szCs w:val="28"/>
        </w:rPr>
        <w:t>având ca obiect transmiterea în viitor, prin încheierea de contracte, a dreptului de proprietate asupra unui bun imobil</w:t>
      </w:r>
      <w:r w:rsidRPr="00250C7F">
        <w:rPr>
          <w:rFonts w:ascii="Times New Roman" w:hAnsi="Times New Roman"/>
          <w:i/>
          <w:iCs/>
          <w:sz w:val="24"/>
          <w:szCs w:val="28"/>
        </w:rPr>
        <w:t xml:space="preserve">, </w:t>
      </w:r>
      <w:r w:rsidRPr="00250C7F">
        <w:rPr>
          <w:rFonts w:ascii="Times New Roman" w:hAnsi="Times New Roman"/>
          <w:iCs/>
          <w:sz w:val="24"/>
          <w:szCs w:val="28"/>
          <w:shd w:val="clear" w:color="auto" w:fill="FFFFFF"/>
        </w:rPr>
        <w:t>nu poate da suport legal asimilării acestora din urmă unor acte de înstrăinare.</w:t>
      </w:r>
    </w:p>
    <w:p w14:paraId="4C8C2663" w14:textId="77777777" w:rsidR="00D45366" w:rsidRPr="00250C7F" w:rsidRDefault="00B951CE" w:rsidP="00D45366">
      <w:pPr>
        <w:autoSpaceDE w:val="0"/>
        <w:autoSpaceDN w:val="0"/>
        <w:adjustRightInd w:val="0"/>
        <w:spacing w:after="0" w:line="276" w:lineRule="auto"/>
        <w:ind w:firstLine="708"/>
        <w:jc w:val="both"/>
        <w:rPr>
          <w:rFonts w:ascii="Times New Roman" w:hAnsi="Times New Roman"/>
          <w:color w:val="000000"/>
          <w:sz w:val="24"/>
          <w:szCs w:val="28"/>
        </w:rPr>
      </w:pPr>
      <w:r w:rsidRPr="00250C7F">
        <w:rPr>
          <w:rFonts w:ascii="Times New Roman" w:hAnsi="Times New Roman"/>
          <w:color w:val="2E2E2E"/>
          <w:sz w:val="24"/>
          <w:szCs w:val="28"/>
          <w:shd w:val="clear" w:color="auto" w:fill="FFFFFF"/>
        </w:rPr>
        <w:t>Clauza de inalienabilitate, ca</w:t>
      </w:r>
      <w:r w:rsidRPr="00250C7F">
        <w:rPr>
          <w:rFonts w:ascii="Times New Roman" w:hAnsi="Times New Roman"/>
          <w:iCs/>
          <w:sz w:val="24"/>
          <w:szCs w:val="28"/>
          <w:shd w:val="clear" w:color="auto" w:fill="FFFFFF"/>
        </w:rPr>
        <w:t xml:space="preserve"> limitare </w:t>
      </w:r>
      <w:r w:rsidRPr="00250C7F">
        <w:rPr>
          <w:rFonts w:ascii="Times New Roman" w:hAnsi="Times New Roman"/>
          <w:sz w:val="24"/>
          <w:szCs w:val="28"/>
          <w:shd w:val="clear" w:color="auto" w:fill="FFFFFF"/>
        </w:rPr>
        <w:t xml:space="preserve">convențională a dreptului de a înstrăina bunul, </w:t>
      </w:r>
      <w:r w:rsidRPr="00250C7F">
        <w:rPr>
          <w:rFonts w:ascii="Times New Roman" w:hAnsi="Times New Roman"/>
          <w:iCs/>
          <w:sz w:val="24"/>
          <w:szCs w:val="28"/>
          <w:shd w:val="clear" w:color="auto" w:fill="FFFFFF"/>
        </w:rPr>
        <w:t xml:space="preserve">nu se subsumează niciuneia dintre ipotezele pentru care </w:t>
      </w:r>
      <w:r w:rsidRPr="00250C7F">
        <w:rPr>
          <w:rFonts w:ascii="Times New Roman" w:hAnsi="Times New Roman"/>
          <w:color w:val="000000"/>
          <w:sz w:val="24"/>
          <w:szCs w:val="28"/>
        </w:rPr>
        <w:t xml:space="preserve">legiuitorul a reglementat prin </w:t>
      </w:r>
      <w:r w:rsidRPr="00250C7F">
        <w:rPr>
          <w:rFonts w:ascii="Times New Roman" w:hAnsi="Times New Roman"/>
          <w:iCs/>
          <w:color w:val="000000"/>
          <w:sz w:val="24"/>
          <w:szCs w:val="28"/>
        </w:rPr>
        <w:t>art. 153 alin. 22 din Legea nr. 31/1990</w:t>
      </w:r>
      <w:r w:rsidRPr="00250C7F">
        <w:rPr>
          <w:rFonts w:ascii="Times New Roman" w:hAnsi="Times New Roman"/>
          <w:color w:val="000000"/>
          <w:sz w:val="24"/>
          <w:szCs w:val="28"/>
        </w:rPr>
        <w:t>, pe baza unui criteriu obiectiv (natura actelor), căruia i se adaugă criteriul valoric, necesitatea  existenţei aprobării adunării generale a acţionarilor ca o condiţie de validitate a actului juridic încheiat în numele şi pe seama societăţii.</w:t>
      </w:r>
    </w:p>
    <w:p w14:paraId="28501E31" w14:textId="4A58D264" w:rsidR="00B951CE" w:rsidRPr="00250C7F" w:rsidRDefault="00B951CE" w:rsidP="00D45366">
      <w:pPr>
        <w:autoSpaceDE w:val="0"/>
        <w:autoSpaceDN w:val="0"/>
        <w:adjustRightInd w:val="0"/>
        <w:spacing w:after="0" w:line="276" w:lineRule="auto"/>
        <w:ind w:firstLine="708"/>
        <w:jc w:val="both"/>
        <w:rPr>
          <w:rFonts w:ascii="PT Sans" w:hAnsi="PT Sans"/>
          <w:color w:val="2E2E2E"/>
          <w:sz w:val="19"/>
          <w:szCs w:val="21"/>
          <w:shd w:val="clear" w:color="auto" w:fill="FFFFFF"/>
        </w:rPr>
      </w:pPr>
      <w:r w:rsidRPr="00250C7F">
        <w:rPr>
          <w:rFonts w:ascii="Times New Roman" w:hAnsi="Times New Roman"/>
          <w:iCs/>
          <w:color w:val="000000"/>
          <w:sz w:val="24"/>
          <w:szCs w:val="28"/>
        </w:rPr>
        <w:t xml:space="preserve">În aceste condiţii, limitarea legală a mandatului general al administratorilor/directoratului nu poate fi extinsă, cu argumentul </w:t>
      </w:r>
      <w:r w:rsidRPr="00250C7F">
        <w:rPr>
          <w:rFonts w:ascii="Times New Roman" w:hAnsi="Times New Roman"/>
          <w:i/>
          <w:iCs/>
          <w:color w:val="000000"/>
          <w:sz w:val="24"/>
          <w:szCs w:val="28"/>
        </w:rPr>
        <w:t xml:space="preserve">a fortiori ratione, </w:t>
      </w:r>
      <w:r w:rsidRPr="00250C7F">
        <w:rPr>
          <w:rFonts w:ascii="Times New Roman" w:hAnsi="Times New Roman"/>
          <w:iCs/>
          <w:color w:val="000000"/>
          <w:sz w:val="24"/>
          <w:szCs w:val="28"/>
        </w:rPr>
        <w:t>la acte a căror natură juridică excedează</w:t>
      </w:r>
      <w:r w:rsidRPr="00250C7F">
        <w:rPr>
          <w:rFonts w:ascii="Times New Roman" w:hAnsi="Times New Roman"/>
          <w:i/>
          <w:iCs/>
          <w:color w:val="000000"/>
          <w:sz w:val="24"/>
          <w:szCs w:val="28"/>
        </w:rPr>
        <w:t xml:space="preserve"> </w:t>
      </w:r>
      <w:r w:rsidRPr="00250C7F">
        <w:rPr>
          <w:rFonts w:ascii="Times New Roman" w:hAnsi="Times New Roman"/>
          <w:iCs/>
          <w:color w:val="000000"/>
          <w:sz w:val="24"/>
          <w:szCs w:val="28"/>
        </w:rPr>
        <w:t>celor în mod limitativ şi expres avute în vedere de legiuitor.</w:t>
      </w:r>
    </w:p>
    <w:p w14:paraId="24A305BC" w14:textId="77777777" w:rsidR="00B951CE" w:rsidRPr="00250C7F" w:rsidRDefault="00B951CE" w:rsidP="00B951CE">
      <w:pPr>
        <w:autoSpaceDE w:val="0"/>
        <w:autoSpaceDN w:val="0"/>
        <w:adjustRightInd w:val="0"/>
        <w:spacing w:after="0" w:line="276" w:lineRule="auto"/>
        <w:ind w:firstLine="708"/>
        <w:jc w:val="both"/>
        <w:rPr>
          <w:rFonts w:ascii="Times New Roman" w:hAnsi="Times New Roman"/>
          <w:sz w:val="24"/>
          <w:szCs w:val="28"/>
        </w:rPr>
      </w:pPr>
      <w:r w:rsidRPr="00250C7F">
        <w:rPr>
          <w:rFonts w:ascii="Times New Roman" w:hAnsi="Times New Roman"/>
          <w:iCs/>
          <w:color w:val="000000"/>
          <w:sz w:val="24"/>
          <w:szCs w:val="28"/>
        </w:rPr>
        <w:t xml:space="preserve">Pe cale de consecinţă, cum motivele de nulitate absolută invocate în cauză nu există, apar ca nefondate şi criticile recurentei privind pronunţarea hotărârii cu încălcarea </w:t>
      </w:r>
      <w:r w:rsidRPr="00250C7F">
        <w:rPr>
          <w:rFonts w:ascii="Times New Roman" w:hAnsi="Times New Roman"/>
          <w:sz w:val="24"/>
          <w:szCs w:val="28"/>
        </w:rPr>
        <w:t>prevederilor art. 1237 şi 1238 C. civ.</w:t>
      </w:r>
    </w:p>
    <w:p w14:paraId="1D1FBF29" w14:textId="77777777" w:rsidR="00B951CE" w:rsidRPr="00250C7F" w:rsidRDefault="00B951CE" w:rsidP="00B951CE">
      <w:pPr>
        <w:autoSpaceDE w:val="0"/>
        <w:autoSpaceDN w:val="0"/>
        <w:adjustRightInd w:val="0"/>
        <w:spacing w:after="0" w:line="276" w:lineRule="auto"/>
        <w:ind w:firstLine="708"/>
        <w:jc w:val="both"/>
        <w:rPr>
          <w:rFonts w:ascii="Times New Roman" w:hAnsi="Times New Roman"/>
          <w:sz w:val="24"/>
          <w:szCs w:val="28"/>
        </w:rPr>
      </w:pPr>
      <w:r w:rsidRPr="00250C7F">
        <w:rPr>
          <w:rFonts w:ascii="Times New Roman" w:hAnsi="Times New Roman"/>
          <w:sz w:val="24"/>
          <w:szCs w:val="28"/>
          <w:lang w:eastAsia="ro-RO"/>
        </w:rPr>
        <w:lastRenderedPageBreak/>
        <w:t>Având în vedere considerentele mai sus expuse, Înalta Curte urmează ca, în temeiul dispoziţiilor art. 496 alin. 1 C. proc. civ., să respingă recursul, ca nefondat.</w:t>
      </w:r>
    </w:p>
    <w:p w14:paraId="0FC1F158" w14:textId="34007D75" w:rsidR="00B951CE" w:rsidRPr="00250C7F" w:rsidRDefault="00B951CE" w:rsidP="000F2C11">
      <w:pPr>
        <w:keepNext/>
        <w:spacing w:after="0" w:line="276" w:lineRule="auto"/>
        <w:ind w:firstLine="708"/>
        <w:jc w:val="both"/>
        <w:outlineLvl w:val="6"/>
        <w:rPr>
          <w:rFonts w:ascii="Times New Roman" w:eastAsia="Times New Roman" w:hAnsi="Times New Roman"/>
          <w:color w:val="000000" w:themeColor="text1"/>
          <w:sz w:val="24"/>
          <w:szCs w:val="28"/>
          <w:lang w:eastAsia="ro-RO"/>
        </w:rPr>
      </w:pPr>
      <w:r w:rsidRPr="00250C7F">
        <w:rPr>
          <w:rFonts w:ascii="Times New Roman" w:eastAsia="Times New Roman" w:hAnsi="Times New Roman"/>
          <w:sz w:val="24"/>
          <w:szCs w:val="28"/>
        </w:rPr>
        <w:t xml:space="preserve">În temeiul art. 453 alin. 1 </w:t>
      </w:r>
      <w:r w:rsidRPr="00250C7F">
        <w:rPr>
          <w:rFonts w:ascii="Times New Roman" w:hAnsi="Times New Roman"/>
          <w:sz w:val="24"/>
          <w:szCs w:val="28"/>
          <w:lang w:eastAsia="ro-RO"/>
        </w:rPr>
        <w:t>C. proc. civ.</w:t>
      </w:r>
      <w:r w:rsidRPr="00250C7F">
        <w:rPr>
          <w:rFonts w:ascii="Times New Roman" w:eastAsia="Times New Roman" w:hAnsi="Times New Roman"/>
          <w:sz w:val="24"/>
          <w:szCs w:val="28"/>
        </w:rPr>
        <w:t>, a fost o</w:t>
      </w:r>
      <w:r w:rsidRPr="00250C7F">
        <w:rPr>
          <w:rFonts w:ascii="Times New Roman" w:eastAsia="Times New Roman" w:hAnsi="Times New Roman"/>
          <w:sz w:val="24"/>
          <w:szCs w:val="28"/>
          <w:lang w:eastAsia="ro-RO"/>
        </w:rPr>
        <w:t>bligată</w:t>
      </w:r>
      <w:r w:rsidRPr="00250C7F">
        <w:rPr>
          <w:rFonts w:ascii="Times New Roman" w:eastAsia="Times New Roman" w:hAnsi="Times New Roman"/>
          <w:color w:val="000000" w:themeColor="text1"/>
          <w:sz w:val="24"/>
          <w:szCs w:val="28"/>
          <w:lang w:eastAsia="ro-RO"/>
        </w:rPr>
        <w:t xml:space="preserve"> recurenta-reclamantă la plata către</w:t>
      </w:r>
      <w:r w:rsidRPr="00250C7F">
        <w:rPr>
          <w:rFonts w:ascii="Times New Roman" w:eastAsia="Times New Roman" w:hAnsi="Times New Roman"/>
          <w:bCs/>
          <w:color w:val="000000"/>
          <w:sz w:val="24"/>
          <w:szCs w:val="28"/>
          <w:lang w:eastAsia="ro-RO"/>
        </w:rPr>
        <w:t xml:space="preserve"> intimaţii-pârâţi C. şi B. </w:t>
      </w:r>
      <w:r w:rsidRPr="00250C7F">
        <w:rPr>
          <w:rFonts w:ascii="Times New Roman" w:eastAsia="Times New Roman" w:hAnsi="Times New Roman"/>
          <w:color w:val="000000" w:themeColor="text1"/>
          <w:sz w:val="24"/>
          <w:szCs w:val="28"/>
          <w:lang w:eastAsia="ro-RO"/>
        </w:rPr>
        <w:t xml:space="preserve">a cheltuielilor de judecată în sumă de </w:t>
      </w:r>
      <w:r w:rsidRPr="00250C7F">
        <w:rPr>
          <w:rFonts w:ascii="Times New Roman" w:eastAsia="Times New Roman" w:hAnsi="Times New Roman"/>
          <w:bCs/>
          <w:color w:val="000000"/>
          <w:sz w:val="24"/>
          <w:szCs w:val="28"/>
          <w:lang w:eastAsia="ro-RO"/>
        </w:rPr>
        <w:t xml:space="preserve">8330 </w:t>
      </w:r>
      <w:r w:rsidRPr="00250C7F">
        <w:rPr>
          <w:rFonts w:ascii="Times New Roman" w:eastAsia="Times New Roman" w:hAnsi="Times New Roman"/>
          <w:color w:val="000000" w:themeColor="text1"/>
          <w:sz w:val="24"/>
          <w:szCs w:val="28"/>
          <w:lang w:eastAsia="ro-RO"/>
        </w:rPr>
        <w:t>lei, reprezentând onorariul pentru plata avocatului.</w:t>
      </w:r>
    </w:p>
    <w:p w14:paraId="1E548667" w14:textId="77777777" w:rsidR="00B951CE" w:rsidRPr="00250C7F" w:rsidRDefault="00B951CE" w:rsidP="00B951CE">
      <w:pPr>
        <w:tabs>
          <w:tab w:val="left" w:pos="284"/>
        </w:tabs>
        <w:spacing w:after="0" w:line="240" w:lineRule="auto"/>
        <w:ind w:right="-2"/>
        <w:contextualSpacing/>
        <w:jc w:val="both"/>
        <w:rPr>
          <w:rFonts w:ascii="Times New Roman" w:hAnsi="Times New Roman" w:cs="Times New Roman"/>
          <w:color w:val="00000A"/>
          <w:sz w:val="24"/>
          <w:szCs w:val="24"/>
        </w:rPr>
      </w:pPr>
    </w:p>
    <w:p w14:paraId="331252A2" w14:textId="77777777" w:rsidR="00142FA6" w:rsidRPr="00250C7F" w:rsidRDefault="00142FA6" w:rsidP="00FA2689">
      <w:pPr>
        <w:pStyle w:val="Heading2"/>
        <w:jc w:val="center"/>
        <w:rPr>
          <w:rFonts w:ascii="Times New Roman" w:eastAsia="Times New Roman" w:hAnsi="Times New Roman" w:cs="Times New Roman"/>
          <w:b/>
          <w:i/>
          <w:color w:val="auto"/>
          <w:sz w:val="24"/>
          <w:szCs w:val="24"/>
        </w:rPr>
      </w:pPr>
      <w:bookmarkStart w:id="23" w:name="_Toc84584813"/>
      <w:r w:rsidRPr="00250C7F">
        <w:rPr>
          <w:rFonts w:ascii="Times New Roman" w:eastAsia="Times New Roman" w:hAnsi="Times New Roman" w:cs="Times New Roman"/>
          <w:b/>
          <w:i/>
          <w:color w:val="auto"/>
          <w:sz w:val="24"/>
          <w:szCs w:val="24"/>
        </w:rPr>
        <w:t>III. Contracte comerciale</w:t>
      </w:r>
      <w:bookmarkEnd w:id="23"/>
    </w:p>
    <w:p w14:paraId="4E20026B" w14:textId="77777777" w:rsidR="000303CA" w:rsidRPr="00250C7F" w:rsidRDefault="000303CA" w:rsidP="00CB3E33">
      <w:pPr>
        <w:spacing w:after="0" w:line="240" w:lineRule="auto"/>
        <w:rPr>
          <w:highlight w:val="yellow"/>
        </w:rPr>
      </w:pPr>
    </w:p>
    <w:p w14:paraId="238AB51A" w14:textId="7F7CB620" w:rsidR="00FE7A6C" w:rsidRPr="00250C7F" w:rsidRDefault="008D5478" w:rsidP="008D5478">
      <w:pPr>
        <w:pStyle w:val="Heading3"/>
        <w:spacing w:line="276" w:lineRule="auto"/>
        <w:jc w:val="both"/>
        <w:rPr>
          <w:rFonts w:ascii="Times New Roman" w:hAnsi="Times New Roman" w:cs="Times New Roman"/>
          <w:b/>
          <w:color w:val="auto"/>
        </w:rPr>
      </w:pPr>
      <w:bookmarkStart w:id="24" w:name="_Toc84584814"/>
      <w:r w:rsidRPr="00250C7F">
        <w:rPr>
          <w:rFonts w:ascii="Times New Roman" w:hAnsi="Times New Roman" w:cs="Times New Roman"/>
          <w:b/>
          <w:color w:val="auto"/>
        </w:rPr>
        <w:t>4</w:t>
      </w:r>
      <w:r w:rsidR="00EA0463" w:rsidRPr="00250C7F">
        <w:rPr>
          <w:rFonts w:ascii="Times New Roman" w:hAnsi="Times New Roman" w:cs="Times New Roman"/>
          <w:b/>
          <w:color w:val="auto"/>
        </w:rPr>
        <w:t xml:space="preserve">. </w:t>
      </w:r>
      <w:r w:rsidR="00FE7A6C" w:rsidRPr="00250C7F">
        <w:rPr>
          <w:rFonts w:ascii="Times New Roman" w:hAnsi="Times New Roman" w:cs="Times New Roman"/>
          <w:b/>
          <w:color w:val="auto"/>
        </w:rPr>
        <w:t>Contract de mandat. Acțiune în pretenții având ca obiect bonusul de performanță. Condiții pentru acordarea acestuia în raport cu clauzele contractuale</w:t>
      </w:r>
      <w:bookmarkEnd w:id="24"/>
    </w:p>
    <w:p w14:paraId="4FDCBA3B" w14:textId="7AC6467A" w:rsidR="0045097A" w:rsidRPr="00250C7F" w:rsidRDefault="0045097A" w:rsidP="00CB3E33">
      <w:pPr>
        <w:spacing w:after="0" w:line="240" w:lineRule="auto"/>
        <w:rPr>
          <w:rFonts w:ascii="Times New Roman" w:hAnsi="Times New Roman" w:cs="Times New Roman"/>
        </w:rPr>
      </w:pPr>
      <w:r w:rsidRPr="00250C7F">
        <w:rPr>
          <w:rFonts w:ascii="Times New Roman" w:hAnsi="Times New Roman" w:cs="Times New Roman"/>
        </w:rPr>
        <w:tab/>
      </w:r>
    </w:p>
    <w:p w14:paraId="17BCCB6C" w14:textId="77777777" w:rsidR="00FE7A6C" w:rsidRPr="00250C7F" w:rsidRDefault="00FE7A6C" w:rsidP="00CB3E33">
      <w:pPr>
        <w:autoSpaceDE w:val="0"/>
        <w:adjustRightInd w:val="0"/>
        <w:spacing w:after="0" w:line="240" w:lineRule="auto"/>
        <w:jc w:val="right"/>
        <w:rPr>
          <w:rFonts w:ascii="Times New Roman" w:hAnsi="Times New Roman" w:cs="Times New Roman"/>
          <w:sz w:val="24"/>
          <w:szCs w:val="24"/>
        </w:rPr>
      </w:pPr>
      <w:r w:rsidRPr="00250C7F">
        <w:rPr>
          <w:rFonts w:ascii="Times New Roman" w:hAnsi="Times New Roman" w:cs="Times New Roman"/>
          <w:sz w:val="24"/>
          <w:szCs w:val="24"/>
        </w:rPr>
        <w:t>C. civ., art. 1169, art. 1270, art. 1412 alin. (1)</w:t>
      </w:r>
    </w:p>
    <w:p w14:paraId="40D49EA3" w14:textId="77777777" w:rsidR="00FE7A6C" w:rsidRPr="00250C7F" w:rsidRDefault="00FE7A6C" w:rsidP="00CB3E33">
      <w:pPr>
        <w:autoSpaceDE w:val="0"/>
        <w:adjustRightInd w:val="0"/>
        <w:spacing w:after="0" w:line="240" w:lineRule="auto"/>
        <w:jc w:val="right"/>
        <w:rPr>
          <w:rFonts w:ascii="Times New Roman" w:hAnsi="Times New Roman" w:cs="Times New Roman"/>
          <w:sz w:val="24"/>
          <w:szCs w:val="24"/>
        </w:rPr>
      </w:pPr>
      <w:r w:rsidRPr="00250C7F">
        <w:rPr>
          <w:rFonts w:ascii="Times New Roman" w:hAnsi="Times New Roman" w:cs="Times New Roman"/>
          <w:sz w:val="24"/>
          <w:szCs w:val="24"/>
        </w:rPr>
        <w:t>C. proc. civ., art. 249</w:t>
      </w:r>
    </w:p>
    <w:p w14:paraId="6AE36AF8" w14:textId="3A89CE3C" w:rsidR="00EA0463" w:rsidRPr="00250C7F" w:rsidRDefault="00FE7A6C" w:rsidP="00CB3E33">
      <w:pPr>
        <w:autoSpaceDE w:val="0"/>
        <w:adjustRightInd w:val="0"/>
        <w:spacing w:after="0" w:line="240" w:lineRule="auto"/>
        <w:jc w:val="right"/>
        <w:rPr>
          <w:rFonts w:ascii="Times New Roman" w:hAnsi="Times New Roman" w:cs="Times New Roman"/>
          <w:sz w:val="24"/>
          <w:szCs w:val="24"/>
        </w:rPr>
      </w:pPr>
      <w:r w:rsidRPr="00250C7F">
        <w:rPr>
          <w:rFonts w:ascii="Times New Roman" w:hAnsi="Times New Roman" w:cs="Times New Roman"/>
          <w:sz w:val="24"/>
          <w:szCs w:val="24"/>
        </w:rPr>
        <w:t>O.U.G. nr. 109/2011</w:t>
      </w:r>
    </w:p>
    <w:p w14:paraId="53B9B6ED" w14:textId="77777777" w:rsidR="00FE7A6C" w:rsidRPr="00250C7F" w:rsidRDefault="00FE7A6C" w:rsidP="00FE7A6C">
      <w:pPr>
        <w:autoSpaceDE w:val="0"/>
        <w:adjustRightInd w:val="0"/>
        <w:spacing w:after="0" w:line="276" w:lineRule="auto"/>
        <w:jc w:val="right"/>
        <w:rPr>
          <w:rFonts w:ascii="Times New Roman" w:hAnsi="Times New Roman" w:cs="Times New Roman"/>
          <w:sz w:val="24"/>
          <w:szCs w:val="24"/>
          <w:highlight w:val="yellow"/>
        </w:rPr>
      </w:pPr>
    </w:p>
    <w:p w14:paraId="3BEBFF55" w14:textId="77777777" w:rsidR="00FE7A6C" w:rsidRPr="00250C7F" w:rsidRDefault="00FE7A6C" w:rsidP="00FE7A6C">
      <w:pPr>
        <w:spacing w:after="0" w:line="276" w:lineRule="auto"/>
        <w:ind w:firstLine="706"/>
        <w:jc w:val="both"/>
        <w:rPr>
          <w:rFonts w:ascii="Times New Roman" w:hAnsi="Times New Roman" w:cs="Times New Roman"/>
          <w:i/>
          <w:sz w:val="24"/>
          <w:szCs w:val="24"/>
        </w:rPr>
      </w:pPr>
      <w:r w:rsidRPr="00250C7F">
        <w:rPr>
          <w:rFonts w:ascii="Times New Roman" w:hAnsi="Times New Roman" w:cs="Times New Roman"/>
          <w:i/>
          <w:sz w:val="24"/>
          <w:szCs w:val="24"/>
        </w:rPr>
        <w:t>Potrivit art. 1270 alin. (1) C. civ., „contractul valabil încheiat are putere de lege între părțile contractante, iar potrivit alin. (2) al aceluiași text de lege, „contractul se modifică sau încetează numai prin acordul părților ori din cauze autorizate de lege”.</w:t>
      </w:r>
    </w:p>
    <w:p w14:paraId="67AF20FD" w14:textId="77777777" w:rsidR="00FE7A6C" w:rsidRPr="00250C7F" w:rsidRDefault="00FE7A6C" w:rsidP="00FE7A6C">
      <w:pPr>
        <w:spacing w:after="0" w:line="276" w:lineRule="auto"/>
        <w:ind w:firstLine="706"/>
        <w:jc w:val="both"/>
        <w:rPr>
          <w:rFonts w:ascii="Times New Roman" w:hAnsi="Times New Roman" w:cs="Times New Roman"/>
          <w:i/>
          <w:sz w:val="24"/>
          <w:szCs w:val="24"/>
        </w:rPr>
      </w:pPr>
      <w:r w:rsidRPr="00250C7F">
        <w:rPr>
          <w:rFonts w:ascii="Times New Roman" w:hAnsi="Times New Roman" w:cs="Times New Roman"/>
          <w:i/>
          <w:sz w:val="24"/>
          <w:szCs w:val="24"/>
        </w:rPr>
        <w:t xml:space="preserve">În cazul în care prin contractul de mandat încheiat părțile au convenit asupra dreptului mandatarului de a primi și o componentă anuală variabilă a remunerației, precum și un bonus de performanță, în funcție de rentabilitatea acțiunilor societății, pentru fiecare element al componentei variabile a remunerației fiind stabilite condiții și criterii distincte de acordare și modalități diferite de stabilire/calcul, cu indicarea termenelor, scadențelor dreptului de valorificare a fiecăreia dintre tranșe, la stabilirea drepturilor cuvenite în temeiul clauzei de acordare a bonusului nu prezintă relevanță realizarea celorlalți indicatori de performanță. </w:t>
      </w:r>
    </w:p>
    <w:p w14:paraId="6D68B929" w14:textId="44918431" w:rsidR="0045097A" w:rsidRPr="00250C7F" w:rsidRDefault="00FE7A6C" w:rsidP="00FE7A6C">
      <w:pPr>
        <w:spacing w:after="0" w:line="276" w:lineRule="auto"/>
        <w:ind w:firstLine="706"/>
        <w:jc w:val="both"/>
        <w:rPr>
          <w:rFonts w:ascii="Times New Roman" w:hAnsi="Times New Roman" w:cs="Times New Roman"/>
          <w:i/>
          <w:sz w:val="24"/>
          <w:szCs w:val="24"/>
        </w:rPr>
      </w:pPr>
      <w:r w:rsidRPr="00250C7F">
        <w:rPr>
          <w:rFonts w:ascii="Times New Roman" w:hAnsi="Times New Roman" w:cs="Times New Roman"/>
          <w:i/>
          <w:sz w:val="24"/>
          <w:szCs w:val="24"/>
        </w:rPr>
        <w:t>Aceasta întrucât nici clauzele contractuale și nici dispozițiile O.U.G. nr. 109/2011 privind guvernanța corporativă a întreprinderilor publice nu prevăd o interdependență a elementelor componentei variabile a remunerației, bonusul de performanță nefiind inclus în cadrul indicatorilor de performanță, calculul acestuia fiind în funcție de rentabilitatea acțiunilor societății, fiind determinat riguros, prin formule clare de calcul, asemănătoare profitului acționarilor societății, plata lui nefiind condiționată de îndeplinirea niciunui alt obiectiv sau indicator.</w:t>
      </w:r>
    </w:p>
    <w:p w14:paraId="659452C0" w14:textId="77777777" w:rsidR="0045097A" w:rsidRPr="00250C7F" w:rsidRDefault="0045097A" w:rsidP="00891584">
      <w:pPr>
        <w:autoSpaceDE w:val="0"/>
        <w:adjustRightInd w:val="0"/>
        <w:spacing w:after="0" w:line="276" w:lineRule="auto"/>
        <w:jc w:val="both"/>
        <w:rPr>
          <w:rFonts w:ascii="Times New Roman" w:hAnsi="Times New Roman" w:cs="Times New Roman"/>
          <w:sz w:val="24"/>
          <w:szCs w:val="24"/>
          <w:highlight w:val="yellow"/>
        </w:rPr>
      </w:pPr>
    </w:p>
    <w:p w14:paraId="06378F82" w14:textId="1C54996A" w:rsidR="0045097A" w:rsidRPr="00250C7F" w:rsidRDefault="00050B9C" w:rsidP="00891584">
      <w:pPr>
        <w:autoSpaceDE w:val="0"/>
        <w:adjustRightInd w:val="0"/>
        <w:spacing w:after="0" w:line="276" w:lineRule="auto"/>
        <w:rPr>
          <w:rFonts w:ascii="Times New Roman" w:hAnsi="Times New Roman" w:cs="Times New Roman"/>
          <w:bCs/>
          <w:sz w:val="24"/>
          <w:szCs w:val="24"/>
        </w:rPr>
      </w:pPr>
      <w:r w:rsidRPr="00250C7F">
        <w:rPr>
          <w:rFonts w:ascii="Times New Roman" w:hAnsi="Times New Roman" w:cs="Times New Roman"/>
          <w:bCs/>
          <w:sz w:val="24"/>
          <w:szCs w:val="24"/>
        </w:rPr>
        <w:t xml:space="preserve">I.C.C.J., </w:t>
      </w:r>
      <w:r w:rsidR="0045097A" w:rsidRPr="00250C7F">
        <w:rPr>
          <w:rFonts w:ascii="Times New Roman" w:hAnsi="Times New Roman" w:cs="Times New Roman"/>
          <w:bCs/>
          <w:sz w:val="24"/>
          <w:szCs w:val="24"/>
        </w:rPr>
        <w:t xml:space="preserve">Secţia a II-a civilă, </w:t>
      </w:r>
      <w:r w:rsidR="0075467B" w:rsidRPr="00250C7F">
        <w:rPr>
          <w:rFonts w:ascii="Times New Roman" w:hAnsi="Times New Roman" w:cs="Times New Roman"/>
          <w:bCs/>
          <w:sz w:val="24"/>
          <w:szCs w:val="24"/>
        </w:rPr>
        <w:t xml:space="preserve">decizia </w:t>
      </w:r>
      <w:r w:rsidR="0045097A" w:rsidRPr="00250C7F">
        <w:rPr>
          <w:rFonts w:ascii="Times New Roman" w:hAnsi="Times New Roman" w:cs="Times New Roman"/>
          <w:bCs/>
          <w:sz w:val="24"/>
          <w:szCs w:val="24"/>
        </w:rPr>
        <w:t xml:space="preserve">nr. </w:t>
      </w:r>
      <w:r w:rsidR="00FE7A6C" w:rsidRPr="00250C7F">
        <w:rPr>
          <w:rFonts w:ascii="Times New Roman" w:hAnsi="Times New Roman" w:cs="Times New Roman"/>
          <w:bCs/>
          <w:sz w:val="24"/>
          <w:szCs w:val="24"/>
        </w:rPr>
        <w:t>501 din 25 februarie 2021</w:t>
      </w:r>
    </w:p>
    <w:p w14:paraId="1C891617" w14:textId="77777777" w:rsidR="0045097A" w:rsidRPr="00250C7F" w:rsidRDefault="0045097A" w:rsidP="00891584">
      <w:pPr>
        <w:autoSpaceDE w:val="0"/>
        <w:adjustRightInd w:val="0"/>
        <w:spacing w:after="0" w:line="276" w:lineRule="auto"/>
        <w:rPr>
          <w:rFonts w:ascii="Times New Roman" w:hAnsi="Times New Roman" w:cs="Times New Roman"/>
          <w:b/>
          <w:bCs/>
          <w:sz w:val="24"/>
          <w:szCs w:val="24"/>
          <w:highlight w:val="yellow"/>
        </w:rPr>
      </w:pPr>
    </w:p>
    <w:p w14:paraId="591FCDBD" w14:textId="77777777" w:rsidR="00FE7A6C" w:rsidRPr="00250C7F" w:rsidRDefault="00FE7A6C" w:rsidP="00FE7A6C">
      <w:pPr>
        <w:spacing w:after="0" w:line="276" w:lineRule="auto"/>
        <w:ind w:firstLine="720"/>
        <w:jc w:val="both"/>
        <w:rPr>
          <w:rFonts w:ascii="Times New Roman" w:hAnsi="Times New Roman"/>
          <w:i/>
          <w:sz w:val="24"/>
          <w:szCs w:val="24"/>
        </w:rPr>
      </w:pPr>
      <w:r w:rsidRPr="00250C7F">
        <w:rPr>
          <w:rFonts w:ascii="Times New Roman" w:hAnsi="Times New Roman"/>
          <w:i/>
          <w:sz w:val="24"/>
          <w:szCs w:val="24"/>
        </w:rPr>
        <w:t>A. Obiectul cererii introductive.</w:t>
      </w:r>
    </w:p>
    <w:p w14:paraId="3424A653" w14:textId="6C911F0F"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1.</w:t>
      </w:r>
      <w:r w:rsidR="000F2C11" w:rsidRPr="00250C7F">
        <w:rPr>
          <w:rFonts w:ascii="Times New Roman" w:hAnsi="Times New Roman"/>
          <w:sz w:val="24"/>
          <w:szCs w:val="24"/>
        </w:rPr>
        <w:t xml:space="preserve"> </w:t>
      </w:r>
      <w:r w:rsidRPr="00250C7F">
        <w:rPr>
          <w:rFonts w:ascii="Times New Roman" w:hAnsi="Times New Roman"/>
          <w:sz w:val="24"/>
          <w:szCs w:val="24"/>
        </w:rPr>
        <w:t xml:space="preserve">Prin cererea înregistrată la data de 14 noiembrie 2017 pe rolul Tribunalului București, Secția a VI-a civilă, sub nr. x/3/2017, reclamantul A. a chemat în judecată pe pârâta Compania Națională de Transport al Energiei Electrice B. SA, solicitând instanței ca prin sentința ce o va pronunța să dispună obligarea pârâtei la plata sumei de 1.332.958 lei către reclamant, sumă ce reprezintă contravaloarea rută a componentei variabile a remunerației (opțiunile pentru acțiuni virtuale - OAVT) cuvenite potrivit Contractului de mandat nr. C 158 din 9 mai 2014, precum și obligarea pârâtei la calcularea și achitarea tuturor contribuțiilor sociale aferente sumei nete anterior menționată și la plata dobânzii legale aferentă sumei rezultate în urma admiterii capătului </w:t>
      </w:r>
      <w:r w:rsidRPr="00250C7F">
        <w:rPr>
          <w:rFonts w:ascii="Times New Roman" w:hAnsi="Times New Roman"/>
          <w:sz w:val="24"/>
          <w:szCs w:val="24"/>
        </w:rPr>
        <w:lastRenderedPageBreak/>
        <w:t>de cerere nr. 1, calculată de la data scadenței dintre tranșele valorice ce compun suma indicată supra și până la data achitării efective, cu cheltuieli de judecată.</w:t>
      </w:r>
    </w:p>
    <w:p w14:paraId="7D0D8FBF"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În motivarea cererii de chemare în judecată, reclamantul a arătat că a deținut calitatea de membru al Directoratului B. în baza contractului de mandat nr. C 158 din 9 mai 2014 încheiat cu societatea pârâtă.</w:t>
      </w:r>
    </w:p>
    <w:p w14:paraId="0C508B2D"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Potrivit prevederilor art. 3.3 din contractul de mandat, reclamantul, în calitate de mandatar, beneficiază și de o componentă variabilă a remunerației, conform Anexei nr. 1 la contract.</w:t>
      </w:r>
    </w:p>
    <w:p w14:paraId="08F7E956"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Astfel cum se stipulează în Anexa nr. 1 la contractul de mandat, componenta variabilă a remunerației este alcătuită din: o componentă anuală variabilă pentru îndeplinirea cumulativă a unor indicatori de performanță asumați în planul de administrare pentru fiecare an de mandat și un bonus de performanță - calculat în funcție de rentabilitatea acțiunilor B. pentru acționarii societății, determinat potrivit pct. 3 din Anexa nr. 1 la contract.</w:t>
      </w:r>
    </w:p>
    <w:p w14:paraId="29BF2D42"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Tot în cuprinsul Anexei nr. 1 la contractul de mandat au fost detaliate aspectele relevante pentru determinarea valorii OAVT la data acordării acestora, mecanismul de valorificare a acestora, scadențele dreptului de valorificare a fiecărei tranșe, precum și modul de calcul a valorii OAVT-urilor la data valorificării acestora pentru care pârâta era obligată să achite contravaloarea acestora (pct. 3.4 - 3.13 din Anexa nr. 1 la contract). Valorificarea OAVT se putea realiza în urma unei cereri scrise pe care persoana îndreptățită trebuie să o adreseze Comitetului de Nominalizare și Remunerare din cadrul B., la termenele de valorificare stabilite, la încetarea mandatului sau la data expirării OAVT (art. 3.20 din Anexa nr. 1 la contract).</w:t>
      </w:r>
    </w:p>
    <w:p w14:paraId="26380C7A"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A mai arătat reclamantul că în perioada executării contractului de mandat a primit două certificate, după cum urmează:</w:t>
      </w:r>
    </w:p>
    <w:p w14:paraId="4F437372"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(i) Certificatul nr. 39679 din 14 noiembrie 2014 (înscris 2), prin intermediul căruia îi era acordat reclamantului un pachet de 81.633 de OAVT, începând cu data de 15 mai 2014 și având o valoare de 17,9344 lei/bucată (echivalentul prețului mediu ponderat de tranzacționare al acțiunilor pe piețele Regular și Deal BVB din luna aprilie 2014);</w:t>
      </w:r>
    </w:p>
    <w:p w14:paraId="69B0AF0F"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(ii) Certificatul nr. 39759 din 17 noiembrie 2014 (înscris 3), prin intermediul căruia îi era acordat un pachet de 156.000 de OAVT, începând cu data de 15 noiembrie 2014 și având o valoare de 26,6040 lei/bucată (echivalentul prețului mediu ponderat de tranzacționare al acțiunilor pe piețele Regular și Deal BVB din luna octombrie 2014).</w:t>
      </w:r>
    </w:p>
    <w:p w14:paraId="3A38B9B3"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Reclamantul a menționat că, în acord cu dispozițiile art. 3.20 din Anexa nr. 1 la contract, a formulat cereri de valorificare a fiecăreia dintre tranșele de OAVT cuvenite, după cum urmează:</w:t>
      </w:r>
    </w:p>
    <w:p w14:paraId="2D38ED68"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-la data de 17 noiembrie 2014, pentru prima tranșă (o treime) din pachetul acordat prin Certificatul nr. 39674 din 14 noiembrie 2014, prin cererea de valorificare nr. 39891 din 17 noiembrie 2014 (înscris 4);</w:t>
      </w:r>
    </w:p>
    <w:p w14:paraId="7BF87F67"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-la data de 12 noiembrie 2015, pentru a doua tranșă (o treime) din pachetul acordat prin Certificatul nr. 39679 din 14 noiembrie 2014, prin cererea de valorificare nr. 41936 din 12 noiembrie 2015 (înscris 5);</w:t>
      </w:r>
    </w:p>
    <w:p w14:paraId="073C7D58"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-la data de 14 noiembrie 2016, pentru a treia tranșă (o treime) din pachetul acordat prin Certificatul nr. 39679 din 14 noiembrie 2014, prin cererea de valorificare nr. 40590 din 14 noiembrie 2016 (înscris 6);</w:t>
      </w:r>
    </w:p>
    <w:p w14:paraId="36A1543D"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-la data de 12 noiembrie 2015, pentru prima tranșă (o treime) din pachetul acordat prin Certificatul nr. 39759 din 17 noiembrie 2014, prin cererea de valorificare nr. 41981 din 12 noiembrie 2015 (înscris 7);</w:t>
      </w:r>
    </w:p>
    <w:p w14:paraId="662975A2"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lastRenderedPageBreak/>
        <w:t>-la data de 14 noiembrie 2016, pentru a doua tranșă (o treime) din pachetul acordat prin Certificatul nr. 39759 din 17 noiembrie 2014, prin cererea de valorificare nr. 40594 din 14 noiembrie 2016 (înscris 8).</w:t>
      </w:r>
    </w:p>
    <w:p w14:paraId="5F92C102"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Pârâta B., a susținut reclamantul, nu a răspuns niciunuia dintre aceste cereri și nu a dat curs solicitărilor reclamantului de a-i fi achitată contravaloarea certificatelor OAVT în conformitate cu prevederile contractuale, motivând prin Adresa nr. 6846 din 25 octombrie 2017 că s-ar afla într-o imposibilitate obiectivă de a da curs cererii de plată întrucât Hotărârea A.G.A.O. nr. 1 din 23 martie 2015 a B., hotărâre prin care s-ar fi stabilit limitele generale ale remunerației membrilor Directoratului ar fi aplicabilă doar pentru viitor, iar nu și pentru intervalul dintre data numirii reclamantului ca membru al Directoratului și data adoptării hotărârii, 23 martie 2015.</w:t>
      </w:r>
    </w:p>
    <w:p w14:paraId="1C035EEB" w14:textId="0B3F5F3F" w:rsidR="00FE7A6C" w:rsidRPr="00250C7F" w:rsidRDefault="00FE7A6C" w:rsidP="00FE7A6C">
      <w:pPr>
        <w:spacing w:after="0" w:line="276" w:lineRule="auto"/>
        <w:ind w:firstLine="720"/>
        <w:jc w:val="both"/>
        <w:rPr>
          <w:rFonts w:ascii="Times New Roman" w:hAnsi="Times New Roman"/>
          <w:i/>
          <w:sz w:val="24"/>
          <w:szCs w:val="24"/>
        </w:rPr>
      </w:pPr>
      <w:r w:rsidRPr="00250C7F">
        <w:rPr>
          <w:rFonts w:ascii="Times New Roman" w:hAnsi="Times New Roman"/>
          <w:i/>
          <w:sz w:val="24"/>
          <w:szCs w:val="24"/>
        </w:rPr>
        <w:t>B.</w:t>
      </w:r>
      <w:r w:rsidR="000F2C11" w:rsidRPr="00250C7F">
        <w:rPr>
          <w:rFonts w:ascii="Times New Roman" w:hAnsi="Times New Roman"/>
          <w:i/>
          <w:sz w:val="24"/>
          <w:szCs w:val="24"/>
        </w:rPr>
        <w:t xml:space="preserve"> </w:t>
      </w:r>
      <w:r w:rsidRPr="00250C7F">
        <w:rPr>
          <w:rFonts w:ascii="Times New Roman" w:hAnsi="Times New Roman"/>
          <w:i/>
          <w:sz w:val="24"/>
          <w:szCs w:val="24"/>
        </w:rPr>
        <w:t>Hotărârea primei instanțe.</w:t>
      </w:r>
    </w:p>
    <w:p w14:paraId="485D1425"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2. Prin sentința civilă nr. 2172 din 9 iulie 2018, Tribunalul București, Secția a VI-a civilă, a respins cererea de chemare în judecată, apreciind ca neîntemeiat capătul de cerere principal, privind plata bonusului de performanță și, față de caracterul accesoriu, a respins ca neîntemeiat și capătul de cerere privind plata dobânzii legale.</w:t>
      </w:r>
    </w:p>
    <w:p w14:paraId="35DAA0D1"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3. Pentru a hotărî astfel, prima instanță a reținut că, potrivit dispozițiilor art. 37-38, art. 39 din O.U.G. nr. 109/2011, art. 1270 C. civ., precum și potrivit dispozițiilor contractului de mandat nr. C 158 din 9 mai 2014, indemnizația cuprinzând cele două componente, fixă și variabilă, nu poate depăși cuantumul total stabilit prin hotărârea A.G.A.O. nr. 1 din 23 martie 2015 a B..</w:t>
      </w:r>
    </w:p>
    <w:p w14:paraId="1F582F72"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Prin hotărârea A.G.A.O. nr. 1 din 23 martie 2015 a B., a reținut tribunalul, s-au stabilit anumite limite generale ale componentei fixe a indemnizației, precum și limitele generale ale componentei variabile a indemnizației, aceste limite ale componentei variabile fiind stabilite sub limitele prevăzute în contractele de mandat.</w:t>
      </w:r>
    </w:p>
    <w:p w14:paraId="1520E0C3"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Nu s-a stabilit prin hotărârea AGA o limită generală a întregii indemnizații, ci limite pentru fiecare componentă, iar, din coroborarea pct. 3.5 și 3.6 cu pct. 4 din hotărâre rezultă că aceste dispoziții nu se aplică retroactiv membrilor Directoratului și ai Consiliului de Supraveghere numiți anterior acestei hotărâri.</w:t>
      </w:r>
    </w:p>
    <w:p w14:paraId="295B6318"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Totodată, prin hotărârea AGA, în sensul Anexei nr. 1, se înțelege hotărârea care era deja emisă la momentul semnării contractului de mandat, în caz contrar, admițându-se că debitorul (pârâta) ar putea modifica unilateral pentru trecut, oricând, un contract în componenta sa principală - prețul serviciilor, putând astfel transforma, în fapt, obligația sa într-una pur potestativă, ceea ce contravine dispozițiilor art. 1270 C. civ.</w:t>
      </w:r>
    </w:p>
    <w:p w14:paraId="31F569C9"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Așadar, a arătat tribunalul, această hotărâre AGA nr. 1 din 23 martie 2015 nu se aplică reclamantului și nu poate constitui un temei pentru reducerea componentei variabile cuvenită reclamantului prin cele două contracte de mandat așa cum sunt stabilite prin anexele 1.</w:t>
      </w:r>
    </w:p>
    <w:p w14:paraId="2EE8043C"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Independent însă de efectele hotărârii AGOA din 23 martie 2015, tribunalul a considerat întemeiată apărarea de fond a pârâtei B., privind imposibilitatea acordării bonusului de performanță în condițiile în care reclamantul nu și-a îndeplinit în mod corespunzător obligațiile asumate contractual, obiectivele de performanță asumate, respectiv cei trei indicatori de bază pentru perioada de referință nu au fost îndepliniţi cumulativ, nefiind de natură să genereze rentabilitatea acțiunilor societății și pe această bază să se poată opera în sens pozitiv cu formulele de calcul și determinare a bonusului de performanță înscrise în clauzele din art. 3.1 - 3.17 din anexa 1 la contract.</w:t>
      </w:r>
    </w:p>
    <w:p w14:paraId="15F73ED3"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lastRenderedPageBreak/>
        <w:t>A mai reținut instanța de fond și excepția neexecutării contractului, de vreme ce reclamantul nu a dovedit, deși sarcina probei îi incumba, potrivit art. 249 C. proc. civ., îndeplinirea indicatorilor de performanță și obiectivele trasate de către acționari, astfel cum rezultă din Planul de administrare, Planul de management 2014 - 2017, Raportul Consiliului de Supraveghere asupra activității de administrare în anul 2014 și 2015, procesul-verbal nr. 86730 din 20 decembrie 2017 de constatare și sancționare a contravențiilor emis de Autoritatea Națională de Reglementare în domeniul Energiei.</w:t>
      </w:r>
    </w:p>
    <w:p w14:paraId="4931F400" w14:textId="3A32CE9E" w:rsidR="00FE7A6C" w:rsidRPr="00250C7F" w:rsidRDefault="00FE7A6C" w:rsidP="00FE7A6C">
      <w:pPr>
        <w:spacing w:after="0" w:line="276" w:lineRule="auto"/>
        <w:ind w:firstLine="720"/>
        <w:jc w:val="both"/>
        <w:rPr>
          <w:rFonts w:ascii="Times New Roman" w:hAnsi="Times New Roman"/>
          <w:i/>
          <w:sz w:val="24"/>
          <w:szCs w:val="24"/>
        </w:rPr>
      </w:pPr>
      <w:r w:rsidRPr="00250C7F">
        <w:rPr>
          <w:rFonts w:ascii="Times New Roman" w:hAnsi="Times New Roman"/>
          <w:i/>
          <w:sz w:val="24"/>
          <w:szCs w:val="24"/>
        </w:rPr>
        <w:t>C.</w:t>
      </w:r>
      <w:r w:rsidR="000F2C11" w:rsidRPr="00250C7F">
        <w:rPr>
          <w:rFonts w:ascii="Times New Roman" w:hAnsi="Times New Roman"/>
          <w:i/>
          <w:sz w:val="24"/>
          <w:szCs w:val="24"/>
        </w:rPr>
        <w:t xml:space="preserve"> </w:t>
      </w:r>
      <w:r w:rsidRPr="00250C7F">
        <w:rPr>
          <w:rFonts w:ascii="Times New Roman" w:hAnsi="Times New Roman"/>
          <w:i/>
          <w:sz w:val="24"/>
          <w:szCs w:val="24"/>
        </w:rPr>
        <w:t>Calea de atac împotriva hotărârii primei instanțe.</w:t>
      </w:r>
    </w:p>
    <w:p w14:paraId="1C6A8B8E"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4. Împotriva acestei sentințe a formulat apel reclamantul A., solicitând schimbarea în tot a sentinței și admiterea integrală a pretențiilor sale, cu obligarea intimatei-pârâte la plata cheltuielilor de judecată.</w:t>
      </w:r>
    </w:p>
    <w:p w14:paraId="3E787B1C" w14:textId="08D31AC9" w:rsidR="00FE7A6C" w:rsidRPr="00250C7F" w:rsidRDefault="00FE7A6C" w:rsidP="00FE7A6C">
      <w:pPr>
        <w:spacing w:after="0" w:line="276" w:lineRule="auto"/>
        <w:ind w:firstLine="720"/>
        <w:jc w:val="both"/>
        <w:rPr>
          <w:rFonts w:ascii="Times New Roman" w:hAnsi="Times New Roman"/>
          <w:i/>
          <w:sz w:val="24"/>
          <w:szCs w:val="24"/>
        </w:rPr>
      </w:pPr>
      <w:r w:rsidRPr="00250C7F">
        <w:rPr>
          <w:rFonts w:ascii="Times New Roman" w:hAnsi="Times New Roman"/>
          <w:i/>
          <w:sz w:val="24"/>
          <w:szCs w:val="24"/>
        </w:rPr>
        <w:t>D.</w:t>
      </w:r>
      <w:r w:rsidR="000F2C11" w:rsidRPr="00250C7F">
        <w:rPr>
          <w:rFonts w:ascii="Times New Roman" w:hAnsi="Times New Roman"/>
          <w:i/>
          <w:sz w:val="24"/>
          <w:szCs w:val="24"/>
        </w:rPr>
        <w:t xml:space="preserve"> </w:t>
      </w:r>
      <w:r w:rsidRPr="00250C7F">
        <w:rPr>
          <w:rFonts w:ascii="Times New Roman" w:hAnsi="Times New Roman"/>
          <w:i/>
          <w:sz w:val="24"/>
          <w:szCs w:val="24"/>
        </w:rPr>
        <w:t>Hotărârea instanței de apel.</w:t>
      </w:r>
    </w:p>
    <w:p w14:paraId="2F17C7AD"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5. Prin decizia civilă nr. 2009A din 2 decembrie 2019, Curtea de Apel București, Secția a VI-a civilă, a admis apelul formulat de reclamant, a schimbat în tot sentința apelată în sensul admiterii cererii completate și a obligat pârâta să plătească reclamantului suma de 2.106.639,37 lei, reprezentând contravaloarea netă a componentei variabile a remunerației cuvenite potrivit contractului de mandat nr. C 158 din 9 mai 2014, la care se va adăuga dobânda legală aferentă, calculată la data scadenței fiecărei tranșe și până la data achitării efective; totodată, pârâta a fost obligată să plătească reclamantului cheltuieli de judecată în cuantum de 59.556,32 lei, reprezentând  taxă judiciară de timbru și onorariu avocațial aferente fondului și apelului.</w:t>
      </w:r>
    </w:p>
    <w:p w14:paraId="3E53FDE8"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6. Pentru a pronunța astfel, instanța de apel a reținut că prin act adițional contractul de mandat încheiat între părți a fost completat cu Anexa 1 denumită „Remunerația. Indemnizația fixă lunară și componenta variabilă a remunerației cuvenite membrilor directoratului, cheltuieli decontabile”, în preambulul acesteia menționându-se că, în conformitate cu prevederile art. 3 din contract, mandatarul, în calitatea sa de membru al Directoratului, beneficiază de o remunerație formulată dintr-o indemnizație fixă lunară (pct. 1) și de o componentă variabilă (pct. 2-4), sub rezerva încadrării în limitele generale aprobate de adunarea generală a acționarilor.</w:t>
      </w:r>
    </w:p>
    <w:p w14:paraId="374080C1"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Potrivit art. 1 din Anexă, indemnizația fixă lunară cuvenită mandatarului pe durata aplicării prevederilor O.U.G. nr. 109/2011 este în cuantum de 6 ori media pe ultimele 12 luni a salariului mediu brut din ramura în care își desfășoară activitatea, comunicat de INS anterior numirii.</w:t>
      </w:r>
    </w:p>
    <w:p w14:paraId="40982CED"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Potrivit art. 2.1 și 2.2 din Anexă, suplimentar indemnizației fixe, mandatarul are dreptul să primească și o componentă anuală variabilă a remunerației pentru îndeplinirea cumulativă a indicatorilor de performanță „Timpul mediu de Întrerupere”, „EBITDA” și „Total investiții” asumate în Planul de management pentru fiecare an de mandat.</w:t>
      </w:r>
    </w:p>
    <w:p w14:paraId="29005E82"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Potrivit art. 3.1, mandatarul are dreptul să primească un bonus de performanță în funcție de rentabilitatea acțiunilor B. pentru acționarii societății. Mandatarul va primi anual un pachet de 156.000 de opțiuni pe acțiuni virtuale B., sens în care Directoratul va emite un certificat.</w:t>
      </w:r>
    </w:p>
    <w:p w14:paraId="0E3675F9"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Potrivit art. 4.1, pentru fiecare an de mandat, membrii Directoratului vor fi îndreptățiți să beneficieze împreună de un bonus colectiv de performanță suplimentară în cuantum de 1,8% din depășirea indicatorului de performanță „EBITDA” asumată prin Planul de management.</w:t>
      </w:r>
    </w:p>
    <w:p w14:paraId="5A5895A4"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Instanța de apel a apreciat că bonusul de performanță solicitat de reclamant trebuie analizat prin raportare la prevederile actului adițional referitoare la remunerație care au completat și detaliat atât componenta fixă, cât și pe cea variabilă.</w:t>
      </w:r>
    </w:p>
    <w:p w14:paraId="137199A9"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lastRenderedPageBreak/>
        <w:t>A reținut instanța de apel că nu există nicio clauză contractuală care să prevadă interdependența celor trei tipuri de remunerație variabilă, cu atât mai mult cu cât fiecare dintre aceste trei tipuri depindea de atingerea unor indicatori diferiți: primul tip, depindea de „Timpul mediu de întrerupere”, „EBITDA”, și „Total investiții”, al doilea tip de remunerație depindea de rentabilitatea acțiunilor B. și cel de-al treilea tip depindea de depășirea indicatorului de performanță „EBITDA” și îndeplinirea indicatorului „Total investiții”.</w:t>
      </w:r>
    </w:p>
    <w:p w14:paraId="08209D26"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Faptul că toate cele trei tipuri de remunerație au fost reunite sub denumirea de componentă variabilă a remunerației nu înseamnă că acestea sunt interdependente, ci are scopul de a sublinia caracterul variabil, în contrast cu cel fix, a arătat instanța de apel.</w:t>
      </w:r>
    </w:p>
    <w:p w14:paraId="6639697C"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Totodată, instanța de apel a constatat că nici O.U.G. nr. 109/2011 privind guvernanța corporativă a întreprinderilor publice, în forma în vigoare la data încheierii actului adițional la contractul de mandat, nu prevedea o astfel de condiție în ceea ce privește componenta variabilă, lăsând la aprecierea adunării generale a acționarilor modalitatea de determinare a acesteia, astfel cum se prevede în art. 37 din O.U.G. nr. 109/2011.</w:t>
      </w:r>
    </w:p>
    <w:p w14:paraId="43909A1B"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Față de aceste prevederi legale, instanța de apel a apreciat ca nefondat considerentul primei instanțe în sensul că art. 37 precizează în mod clar: „Componenta variabilă se stabilește pe baza unor indicatori de performanță financiari și nefinanciari”, din analiza dispoziției legale menționate rezultă că elementele componentei variabile sunt interdependente, indicatorii de performanță urmărind sustenabilitatea pe termen lung a societății, iar indicatorii financiari și nefinanciari aprobați constituie elemente în raport cu care se determină componenta variabilă.</w:t>
      </w:r>
    </w:p>
    <w:p w14:paraId="1D74D268"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Așa fiind, instanța de apel a apreciat ca întemeiate criticile reclamantului referitoare la greșita aplicare de către prima instanță a dispozițiilor O.U.G. nr. 109/2011 și greșita interpretare a clauzelor contractuale, întrucât dreptul reclamantului la bonusul de performanță în temeiul art. 3.1 din Actul adițional fiind independent de împlinirea condițiilor prevăzute de art. 2.1 și art. 4.1 din acesta.</w:t>
      </w:r>
    </w:p>
    <w:p w14:paraId="25B89608"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A mai apreciat instanța de apel că prin emiterea certificatelor de către pârâta B. a luat naștere dreptul reclamantului la contravaloarea OAVT-urilor corespunzătoare, nemaifiind necesară verificarea de către instanță a îndeplinirii criteriului de rentabilitate. Astfel, din lectura art. 3.1 și 3.2 din Actul adițional rezultă că dreptul la bonusul de performanță este condiționat de rentabilitatea acțiunilor B., mandatarului eliberându-i-se un certificat conținând numărul de OAVT-uri la care are dreptul.</w:t>
      </w:r>
    </w:p>
    <w:p w14:paraId="356077DD"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Potrivit art. 3.20 din Actul adițional, valorificarea OAVT se realizează printr-o cerere scrisă adresată Comitetului de Nominalizare și Remunerare, oricând la termenele de valorificare stabilite sau la încetarea mandatului din oficiu sau la data expirării OAVT.</w:t>
      </w:r>
    </w:p>
    <w:p w14:paraId="50E333A6"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Această clauză, a arătat instanța de apel, instituie doar un termen (ca modalitate a actului juridic) care afectează dreptul deja născut al reclamantului, și nu o condiție suspensivă.</w:t>
      </w:r>
    </w:p>
    <w:p w14:paraId="37414364"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Aceasta înseamnă că, odată emis certificatul, la momentul plății pârâta nu mai poate invoca neîndeplinirea condițiilor pentru nașterea dreptului la contravaloarea OAVT-urilor, în sens contrar fiind lipsită de sens juridic emiterea certificatului în favoarea reclamantului, deși criteriul rentabilității nu era îndeplinit sau erau încălcate alte condiții necesare acordării OAVT-urilor (spre exemplu, lipsa unei hotărâri AGA referitoare la limitarea componentei variabile a remunerației).</w:t>
      </w:r>
    </w:p>
    <w:p w14:paraId="5DC3363B"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Pretențiile reclamantului sunt întemeiate, a apreciat instanța de apel și, având în vedere și dispozițiile art. 1535 C. civ. și pe cele ale O.G. nr. 13/2011 reclamantul este îndreptățit și la plata dobânzii legale aferentă, calculată de la data fiecărei tranșe și până la data achitării efective.</w:t>
      </w:r>
    </w:p>
    <w:p w14:paraId="25046CA5" w14:textId="2FB47DA0" w:rsidR="00FE7A6C" w:rsidRPr="00250C7F" w:rsidRDefault="00FE7A6C" w:rsidP="00FE7A6C">
      <w:pPr>
        <w:tabs>
          <w:tab w:val="left" w:pos="6344"/>
        </w:tabs>
        <w:spacing w:after="0" w:line="276" w:lineRule="auto"/>
        <w:ind w:firstLine="720"/>
        <w:jc w:val="both"/>
        <w:rPr>
          <w:rFonts w:ascii="Times New Roman" w:hAnsi="Times New Roman"/>
          <w:i/>
          <w:sz w:val="24"/>
          <w:szCs w:val="24"/>
        </w:rPr>
      </w:pPr>
      <w:r w:rsidRPr="00250C7F">
        <w:rPr>
          <w:rFonts w:ascii="Times New Roman" w:hAnsi="Times New Roman"/>
          <w:i/>
          <w:sz w:val="24"/>
          <w:szCs w:val="24"/>
        </w:rPr>
        <w:lastRenderedPageBreak/>
        <w:t>E.</w:t>
      </w:r>
      <w:r w:rsidR="000F2C11" w:rsidRPr="00250C7F">
        <w:rPr>
          <w:rFonts w:ascii="Times New Roman" w:hAnsi="Times New Roman"/>
          <w:i/>
          <w:sz w:val="24"/>
          <w:szCs w:val="24"/>
        </w:rPr>
        <w:t xml:space="preserve"> </w:t>
      </w:r>
      <w:r w:rsidRPr="00250C7F">
        <w:rPr>
          <w:rFonts w:ascii="Times New Roman" w:hAnsi="Times New Roman"/>
          <w:i/>
          <w:sz w:val="24"/>
          <w:szCs w:val="24"/>
        </w:rPr>
        <w:t>Calea de atac împotriva deciziei instanței de apel.</w:t>
      </w:r>
      <w:r w:rsidRPr="00250C7F">
        <w:rPr>
          <w:rFonts w:ascii="Times New Roman" w:hAnsi="Times New Roman"/>
          <w:i/>
          <w:sz w:val="24"/>
          <w:szCs w:val="24"/>
        </w:rPr>
        <w:tab/>
      </w:r>
    </w:p>
    <w:p w14:paraId="35C8CF68"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7. Împotriva acestei decizii a formulat recurs pârâta Compania Națională de Transport al Energiei Electrice B. SA, solicitând casarea în totalitate a deciziei atacate, iar în rejudecare pe fondul cauzei, să se dispună menținerea sentinței civile nr. 2172 din 9 iulie 2018, pronunțată de Tribunalul București, Secția a VI-a civilă, ca fiind temeinică și legală, cu cheltuieli de judecată.</w:t>
      </w:r>
    </w:p>
    <w:p w14:paraId="73C99DF9"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8. Recurenta-pârâtă a criticat decizia pronunțată de instanța de apel pentru încălcarea și aplicarea greșită a normelor de drept material, motiv de nelegalitate prevăzut de art. 488 alin. 1 pct. 8 C. proc. civ.</w:t>
      </w:r>
    </w:p>
    <w:p w14:paraId="18BE4774"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9. Recurenta-pârâtă a susținut că hotărârea atacată este netemeinică, întrucât nu este în concordanță cu probele administrate și este nelegală, întrucât instanța de apel nu a identificat, interpretat și aplicat corect normele legale de drept material incidente.</w:t>
      </w:r>
    </w:p>
    <w:p w14:paraId="56C7F97E"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10. În mod eronat, apreciază recurenta-pârâtă, instanța de apel, după ce a constatat condiționarea bonusului de performanță de criteriul rentabilității acțiunilor, a considerat că nu este necesară verificarea acestui criteriu întrucât indiferent de atingerea sau nu a obiectivului anual asumat, reclamantul este îndreptățit să primească suma pretinsă cu acest titlu.</w:t>
      </w:r>
    </w:p>
    <w:p w14:paraId="50BB3422"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11. În mod eronat, a susținut recurenta, instanța de apel a apreciat că prin emiterea certificatelor dreptul reclamantului la contravaloarea OAVT-urilor corespunzătoare a luat naștere, nemaifiind necesară verificarea de către instanță a îndeplinirii criteriului de rentabilitate, după cum, tot în mod eronat, instanța de apel a constatat și faptul că odată emis certificatul, la momentul plății, pârâta nu mai poate invoca neîndeplinirea condițiilor pentru nașterea dreptului la contravaloarea OAVT-urilor, considerând că este lipsită de sens juridic emiterea certificatului în favoarea reclamantului, deși criteriul rentabilității nu era îndeplinit.</w:t>
      </w:r>
    </w:p>
    <w:p w14:paraId="38CBE2A1"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12. Prin aspectele criticate, consideră recurenta-pârâtă, instanța de apel a încălcat principiul libertății de voință exclusive statornicit prin art. 1169 C. civ., întrucât intimatul-reclamant nu a dovedit, conform art. 249 C. proc. civ., îndeplinirea condițiilor pentru a beneficia de bonusul de performanță, iar art. 3.3 din Contractul de mandat coroborat cu art. 37 din O.U.G. nr. 109/2011, astfel cum a fost modificat prin O.U.G. nr. 51/2013 nu poate fi interpretat decât în sensul în care cele 3 elemente ale componentei variabile sunt interdependente.</w:t>
      </w:r>
    </w:p>
    <w:p w14:paraId="00C21202"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13. De asemenea, mai susține recurenta-pârâtă, primul paragraf al Anexei 1 la contract prevede că mandatarul beneficiază de remunerația variabilă sub rezerva încadrării în limitele generale aprobate de AGA, prevăzute în Planul de Administrare și preluate în planul de management, intenția reală a părților la momentul încheierii contractului de mandat fiind aceea de a condiționa plata tuturor componentelor remunerației mandatarului de stabilirea limitelor generale ale remunerației.</w:t>
      </w:r>
    </w:p>
    <w:p w14:paraId="30399033"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14. Recurenta a arătat că prin Hotărârea AGOA nr. 1 din 23 martie 2015 a B. s-a fixat limitele generale ale remunerației membrilor Directoratului (punctele 3.1 și 3.2), acționarii votând în sensul neaprobării stabilirii datei numirii în calitate de membrii ai Directoratului ca fiind data de la care remunerația acordată membrilor Directoratului se încadrează în limitele fixate de AGOA.</w:t>
      </w:r>
    </w:p>
    <w:p w14:paraId="2B5DB438"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Aşa fiind, instanța de apel a înlăturat, printr-o interpretare greșită, apărările B. referitoare la faptul că reclamantul revendică suma de bani aferente perioadei anului 2014 și, parțial, anului 2015, anterioare datei Hotărârii AGA nr. 1 din 23 martie 2015, prin care acționarii societății au decis că bonusul de performanță nu se poate valorifica retroactiv, ci doar de la data acestei hotărâri.</w:t>
      </w:r>
    </w:p>
    <w:p w14:paraId="44D79675"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lastRenderedPageBreak/>
        <w:t>15. A mai apreciat recurenta că răspunderea contractuală este supusă principiului disponibilității, în sensul că părțile pot conveni în orice mod înlăturarea sau diminuarea acesteia, chiar și în condițiile în care au stipulat, în mod expres, în contract, cazurile de răspundere, întrucât creditorul are dreptul de a uza de mijloacele legale pentru a-și acoperi prejudiciile suferite ca urmare a neexecutării obligațiilor contractuale.</w:t>
      </w:r>
    </w:p>
    <w:p w14:paraId="1DB3DAFD"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Prin urmare, aplicând acest principiu, B. se află în situația clară în care și-a exercitat dreptul de a nu achita sume necuvenite ulterior constatării neîndeplinirii performanței.</w:t>
      </w:r>
    </w:p>
    <w:p w14:paraId="17E4DADA"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S-a învederat de către recurentă că suplimentar, Compania, prin membrii organelor de conducere, a conceput contractele astfel încât să se înțeleagă faptul că sumele sunt interdependente, chiar dacă acestea au fost enumerate distinct, însă topica și construcția gramaticală nu pot fi confundate cu diviziunea obligațiilor asumate.</w:t>
      </w:r>
    </w:p>
    <w:p w14:paraId="41ACA6DA"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16. Totodată, a susținut recurenta, proba neexecutării obligațiilor este ușor de administrat, situațiile financiare consolidate demonstrând că nu există performanță din partea intimatului, activitatea desfășurată de către intimatul-reclamant și mijloacele utilizate au fost insuficiente și necorespunzătoare, aflându-ne din punct de vedere legal, în situația neexecutării obligațiilor de mijloace, rezultatul urmărit nefiind obținut.</w:t>
      </w:r>
    </w:p>
    <w:p w14:paraId="1789C1E1"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17. Recurenta-pârâtă a arătat că justificarea sa, ca și condiție a răspunderii contractuale, rezidă în primul rând în imposibilitatea obiectivă de a proceda la încadrarea remunerației totale între o limită minimă și maximă, astfel cum au stabilit părțile contractual. De altfel, încadrarea remunerației în limite generale aprobate de AGA a fost acceptată de către intimatul-reclamant încă de la semnarea contractului de mandat, astfel încât acesta ar fi trebuit să aibă așteptări rezonabile de stabilire a acestor limite de către mandant, ori să renunțe la mandatul acordat.</w:t>
      </w:r>
    </w:p>
    <w:p w14:paraId="1ADF8F8F"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18. În opinia recurentei-pârâte, instanța de apel a dat o interpretare eronată acordării bonusului de performanță atunci când a constatat că simpla emitere a certificatului OAVT echivalează cu recunoașterea îndeplinirii criteriilor de acordare a bonusului de performanță și obligă Compania la plata acesteia, deoarece pachetul de OAVT la acordare nu are nicio valoare (sunt opțiuni pe acțiuni virtuale), dar urmează să obțină o valoare concretă la momentul valorificării, odată cu depunerea cererii de valorificare, dependent de îndeplinirea indicatorilor de performanță asumați contractual și prin Planul de Administrare.</w:t>
      </w:r>
    </w:p>
    <w:p w14:paraId="0D932AFB"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Dacă s-ar admite, a mai susținut recurenta, că fiecare element al componentei variabile a remunerației este autonom, atunci mandatarii, în speță intimatul, ar putea urmări în exercitarea mandatului său doar propriile sale interese, iar nu pe cele ale B. astfel cum s-a obligat prin contractul de mandat.</w:t>
      </w:r>
    </w:p>
    <w:p w14:paraId="61E4A457"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19. În fine, a apreciat recurenta-pârâtă, interpretarea conform căreia prin Raportul Comitetului de Nominalizare și Remunerare din cadrul Consiliului de Supraveghere al CNTEE B. SA s-ar recunoaște intimatului-reclamant dreptul la bonusul de performanță, ca urmare a menționării în cuprinsul său a unor mențiuni cu privire la rentabilitatea acțiunilor, este total greșită.</w:t>
      </w:r>
    </w:p>
    <w:p w14:paraId="1B81908C"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Acest raport se întocmește în conformitate cu prevederile art. 55 alin. 2 din O.U.G. nr. 109/2011, iar analiza financiară consolidată nu poate fi confundată cu recunoașterea selectivă a anumitor presupuse obligații, raportarea financiară cuprinzând și inserarea unor sume incerte, solicitate de anumiți terți, însă aceasta face parte din estimarea bugetului anual.</w:t>
      </w:r>
    </w:p>
    <w:p w14:paraId="549316C3" w14:textId="77777777" w:rsidR="00FE7A6C" w:rsidRPr="00250C7F" w:rsidRDefault="00FE7A6C" w:rsidP="00FE7A6C">
      <w:pPr>
        <w:spacing w:after="0" w:line="276" w:lineRule="auto"/>
        <w:ind w:firstLine="720"/>
        <w:jc w:val="both"/>
        <w:rPr>
          <w:rFonts w:ascii="Times New Roman" w:hAnsi="Times New Roman"/>
          <w:i/>
          <w:sz w:val="24"/>
          <w:szCs w:val="24"/>
        </w:rPr>
      </w:pPr>
      <w:r w:rsidRPr="00250C7F">
        <w:rPr>
          <w:rFonts w:ascii="Times New Roman" w:hAnsi="Times New Roman"/>
          <w:i/>
          <w:sz w:val="24"/>
          <w:szCs w:val="24"/>
        </w:rPr>
        <w:t>F. Apărările intimatului-reclamant.</w:t>
      </w:r>
    </w:p>
    <w:p w14:paraId="29DD10C1"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lastRenderedPageBreak/>
        <w:t>20. La data de 8 aprilie 2020 intimatul-reclamant A. a depus întâmpinare, solicitând anularea recursului formulat de recurenta-pârâtă, ca nemotivat, în măsura în care motivarea dezvoltată în fapt nu se încadrează în niciuna dintre tezele alternativ prevăzute de dispozițiile art. 488 alin. 1 pct. 8 C. proc. civ.</w:t>
      </w:r>
    </w:p>
    <w:p w14:paraId="20D894C1" w14:textId="7E8D35FA" w:rsidR="00FE7A6C" w:rsidRPr="00250C7F" w:rsidRDefault="000F2C11"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 xml:space="preserve">Pe </w:t>
      </w:r>
      <w:r w:rsidR="00FE7A6C" w:rsidRPr="00250C7F">
        <w:rPr>
          <w:rFonts w:ascii="Times New Roman" w:hAnsi="Times New Roman"/>
          <w:sz w:val="24"/>
          <w:szCs w:val="24"/>
        </w:rPr>
        <w:t>fondul recursului, intimatul a solicitat respingerea acestuia ca nefondat și menținerea ca temeinică și legală a deciziei civile nr. 2009 A din 2 decembrie 2019 pronunțată de Curtea de Apel București, Secția a VI-a civilă, cu obligarea reclamantului la plata cheltuielilor de judecată.</w:t>
      </w:r>
    </w:p>
    <w:p w14:paraId="2FCF8562"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A arătat intimatul că cererea de recurs nu cuprinde nici un argument în sensul nelegalității deciziei recurate, recurenta dezvoltând exclusiv motive de netemeinicie a hotărârii, conform cărora această hotărâre nu ar fi în concordanță cu probele administrate, după cum hotărârea este nelegală prin modul în care instanța de apel a înțeles să interpreteze efectele clauzelor contractuale.</w:t>
      </w:r>
    </w:p>
    <w:p w14:paraId="473CCF34"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Mai mult, a susținut intimatul-reclamant, deși recurenta-pârâtă a invocat pentru prima dată în recurs dispozițiile art. 1169 C. civ., pretinzând o încălcare a acestui text de lege de către instanța de apel, aceasta nu face altceva decât să reitereze în cadrul dezvoltării acestui argument propriile sale apărări din fond și apel, fără nici cea mai vagă legătură cu motivul de nelegalitate invocat.</w:t>
      </w:r>
    </w:p>
    <w:p w14:paraId="02E5C620"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21. Recurenta-pârâtă a depus răspuns la întâmpinare, la data de 24 aprilie 2020, solicitând respingerea excepției nulității recursului și respingerea apărărilor formulate pe fondul cauzei.</w:t>
      </w:r>
    </w:p>
    <w:p w14:paraId="43EE70FF" w14:textId="77777777" w:rsidR="00FE7A6C" w:rsidRPr="00250C7F" w:rsidRDefault="00FE7A6C" w:rsidP="00FE7A6C">
      <w:pPr>
        <w:spacing w:after="0" w:line="276" w:lineRule="auto"/>
        <w:ind w:firstLine="720"/>
        <w:jc w:val="both"/>
        <w:rPr>
          <w:rFonts w:ascii="Times New Roman" w:hAnsi="Times New Roman"/>
          <w:i/>
          <w:sz w:val="24"/>
          <w:szCs w:val="24"/>
        </w:rPr>
      </w:pPr>
      <w:r w:rsidRPr="00250C7F">
        <w:rPr>
          <w:rFonts w:ascii="Times New Roman" w:hAnsi="Times New Roman"/>
          <w:i/>
          <w:sz w:val="24"/>
          <w:szCs w:val="24"/>
        </w:rPr>
        <w:t>G. Considerentele instanței de recurs.</w:t>
      </w:r>
    </w:p>
    <w:p w14:paraId="2D71C965" w14:textId="25E6C75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22. Înalta Curte, în temeiul art. 493 alin. 2 C. proc. civ. a dispus întocmirea raportului asupra admisibilității în principiu a recursului, acesta a fost redactat și comunicat părților.</w:t>
      </w:r>
    </w:p>
    <w:p w14:paraId="0148019C"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23. Prin încheierea din 19 noiembrie 2020 s-a respins excepția nulității recursului invocată prin întâmpinare de către intimatul-reclamant și s-a admis în principiu recursul.</w:t>
      </w:r>
    </w:p>
    <w:p w14:paraId="42726FF3" w14:textId="77777777" w:rsidR="00FE7A6C" w:rsidRPr="00250C7F" w:rsidRDefault="00FE7A6C" w:rsidP="00FE7A6C">
      <w:pPr>
        <w:spacing w:after="0" w:line="276" w:lineRule="auto"/>
        <w:ind w:firstLine="720"/>
        <w:jc w:val="both"/>
        <w:rPr>
          <w:rFonts w:ascii="Times New Roman" w:hAnsi="Times New Roman"/>
          <w:i/>
          <w:sz w:val="24"/>
          <w:szCs w:val="24"/>
        </w:rPr>
      </w:pPr>
      <w:r w:rsidRPr="00250C7F">
        <w:rPr>
          <w:rFonts w:ascii="Times New Roman" w:hAnsi="Times New Roman"/>
          <w:i/>
          <w:sz w:val="24"/>
          <w:szCs w:val="24"/>
        </w:rPr>
        <w:t>24. Înalta Curte, analizând recursul, din perspectiva criticilor formulate, constată recursul nefondat pentru considerentele ce succed.</w:t>
      </w:r>
    </w:p>
    <w:p w14:paraId="3B3D928C"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25. Motivul de nelegalitate prevăzut de art. 488 alin. 1 pct. 8 C. proc. civ. sancționează hotărârea care a fost dată cu încălcarea sau aplicarea greșită a normelor de drept material.</w:t>
      </w:r>
    </w:p>
    <w:p w14:paraId="442BDEEC"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Criticile aduse de către recurenta-pârâtă hotărârii atacate constau în interpretarea eronată de către instanța de apel a normelor de drept material, respectiv a dispozițiilor art. 1169 C. civ. - referitoare la principiul libertății contractuale, în sensul că, înlăturând apărările Companiei și reținând dreptul reclamantului, în condițiile în care acesta nu a dovedit, conform art. 249 C. proc. civ., îndeplinirea condițiilor pentru a beneficia de bonusul de performanță, instanța de apel nu a ținut seama de voința reală a părților la încheierea contractului de mandat, ignorând, totodată, principiul consensualismului care aduce în fața părților contractante asumarea echilibrului contractual înăuntrul și în afara formei scrise, precum și principiul disponibilității care guvernează răspunderea contractuală, în sensul că părțile pot conveni în orice mod înlăturarea sau diminuarea acesteia, chiar și în condițiile în care au stipulat în mod expres, în contract, cazurile de răspundere.</w:t>
      </w:r>
    </w:p>
    <w:p w14:paraId="6213EA4F"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26. Art. 1169 C. civ. dispune în sensul că „Părțile sunt libere să încheie orice contracte și să determine conținutul acestora, în limitele impuse de lege, de ordine publică și de bunele moravuri”.</w:t>
      </w:r>
    </w:p>
    <w:p w14:paraId="3110CC17"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 xml:space="preserve">Înalta Curte constată că analiza întreprinsă de către instanța de prim control judiciar se întemeiază pe prevederile contractului de mandat nr. C 158 din 9 mai 2014 astfel cum au fost completate prin act adițional, respectiv cu Anexa 1 denumită „Remunerația. Indemnizația fixă </w:t>
      </w:r>
      <w:r w:rsidRPr="00250C7F">
        <w:rPr>
          <w:rFonts w:ascii="Times New Roman" w:hAnsi="Times New Roman"/>
          <w:sz w:val="24"/>
          <w:szCs w:val="24"/>
        </w:rPr>
        <w:lastRenderedPageBreak/>
        <w:t>lunară și componenta variabilă a remunerației cuvenite membrilor directoratului, cheltuieli decontabile”.</w:t>
      </w:r>
    </w:p>
    <w:p w14:paraId="6C725DB4"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Instanța de apel, în analiza efectuată, a redat întocmai clauzele contractuale, precum și dispozițiile incidente din O.U.G. nr. 109/2011 privind guvernanța corporativă a întreprinderilor publice, în forma în vigoare la data încheierii actului adițional. În baza acestora instanța de apel a concluzionat în sensul că dreptul reclamantului la bonusul de performanță în temeiul art. 3.1 din Actul adițional este independent de îndeplinirea condițiilor prevăzute de art. 2.1 și art. 4.1 din acesta, mandatarul având dreptul să primească bonusul de performanță în funcție de rentabilitatea acțiunilor B. pentru acționarii societății, sub rezerva încadrării în limitele generale aprobate de AGA.</w:t>
      </w:r>
    </w:p>
    <w:p w14:paraId="7A81A9F0"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27. Instanța de apel a constatat, de asemenea, că reclamantului i s-au recunoscut drepturile prin cele 5 certificate emise de către pârâtă, valorificarea OAVT-urilor urmând a se realiza printr-o cerere adresată Comitetului de Nominalizare și Remunerare, oricând la termenele stabilite pentru valorificare sau la încetarea mandatului din oficiu sau la data expirării OAVT.</w:t>
      </w:r>
    </w:p>
    <w:p w14:paraId="5B615D96"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28. Instanța de apel a apreciat, totodată, că această clauză contractuală stipulată în art. 3.20 din Actul adițional instituie doar un termen care afectează dreptul deja născut al reclamantului, și nu o condiție suspensivă.</w:t>
      </w:r>
    </w:p>
    <w:p w14:paraId="41503802"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29. Recurenta-pârâtă susține, contrar celor reținute de către instanța de apel, că emiterea certificatelor de acordare a OAVT-urilor nu are nicio valoare, ci obține o valoare concretă odată cu depunerea cererii de valorificare, începând cu luna noiembrie a fiecărui an, în strânsă legătură cu îndeplinirea indicatorilor de performanță.</w:t>
      </w:r>
    </w:p>
    <w:p w14:paraId="3D816983"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30. Înalta Curte constată că nu poate fi primită această afirmație a recurentei-pârâte întrucât, potrivit propriilor susțineri, astfel cum au fost constant formulate pe parcursul judecării litigiului, începând cu întâmpinarea depusă în dosarul tribunalului, prin contractul de mandat părțile au convenit asupra dreptului mandatarului de a primi și o componentă anuală variabilă a remunerației, precum și un bonus de performanță, în funcție de rentabilitatea acțiunilor B., ce va fi determinat potrivit paragrafelor 3.2 - 3.21 din Anexa nr. 1 la contract, fiind indicată atât modalitatea de valorificare, forma de calcul și fiind prestabilite termenele, scadențele dreptului de valorificare a fiecăreia dintre tranșe.</w:t>
      </w:r>
    </w:p>
    <w:p w14:paraId="28B996B1"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Potrivit dispozițiilor art. 1412 alin. 1 C. civ., termenul este suspensiv atunci când, până la împlinirea lui, este amânată scadența obligației.</w:t>
      </w:r>
    </w:p>
    <w:p w14:paraId="72D6BE71"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Deși susține, în mod eronat că scadențele de valorificare a OAVT-urilor ar fi altele decât cele menționate expres în Anexa nr. 1 la contract, recurenta-pârâtă recunoaște că obligația sa de plată era exigibilă la anumite date, ulterioare emiterii pachetelor de OAVT-uri (certificatelor), ceea ce confirmă justețea celor reținute de către instanța de apel.</w:t>
      </w:r>
    </w:p>
    <w:p w14:paraId="3354F375"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31. Potrivit paragrafului 3.20 din Anexa 1 la contract, astfel cum a constatat instanța de apel, „Valorificarea OAVT se realizează printr-o cerere scrisă adresată Comitetului de Remunerare, oricând la termenele de valorificare stabilite mai sus (paragrafele 3.14 – 3.17) sau la încetarea mandatului din oficiu sau la data expirării OAVT”.</w:t>
      </w:r>
    </w:p>
    <w:p w14:paraId="5D0C9376"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 xml:space="preserve">32. Ne regăsim, astfel cum corect a reținut instanța de apel, în prezența unui termen cert, care a fost determinat cu precizie prin acordul părților prin referire atât la date calendaristice, cât și la evenimente precis situate în timp, nelăsând loc la interpretări. </w:t>
      </w:r>
    </w:p>
    <w:p w14:paraId="46820C67"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 xml:space="preserve">33. În acord cu prevederile contractuale precitate, ce exprimă voința părților este și soluția instanței de apel care a constatat corect că dreptul la acordarea bonusului de performanță s-a </w:t>
      </w:r>
      <w:r w:rsidRPr="00250C7F">
        <w:rPr>
          <w:rFonts w:ascii="Times New Roman" w:hAnsi="Times New Roman"/>
          <w:sz w:val="24"/>
          <w:szCs w:val="24"/>
        </w:rPr>
        <w:lastRenderedPageBreak/>
        <w:t>născut pentru intimatul-reclamant odată cu emiterea certificatelor pentru pachetele de OAVT-uri, iar recurenta-pârâtă are obligația de a-și îndeplini întocmai cele asumate prin contract, în sensul plății la scadență, urmare a cererilor adresate de către reclamant în conformitate cu dispozițiile paragrafului 3.20 din Anexa nr. 1 la contract, pârâta nemaiputând invoca neîndeplinirea condițiilor pentru nașterea dreptului reclamantului la contravaloarea OAVT-urilor.</w:t>
      </w:r>
    </w:p>
    <w:p w14:paraId="0622B2E6"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34. Potrivit art. 1270 alin. 1 C. civ., „Contractul valabil încheiat are putere de lege între părțile contractante, iar potrivit alin. 2 al aceluiași text de lege, „Contractul se modifică sau încetează numai prin acordul părților ori din cauze autorizate de lege”.</w:t>
      </w:r>
    </w:p>
    <w:p w14:paraId="7C35CF1C"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Din analiza întreprinsă de către instanța de apel a rezultat că, potrivit contractului încheiat între părți, astfel cum a fost completat prin actul adițional, cuprinzând Anexa nr. 1 la contract, pentru fiecare element al componentei variabile a remunerației cuvenite intimatului-reclamant sunt stabilite condiții și critici distincte de acordare și modalități diferite de stabilire/calcul etc. astfel încât pentru stabilirea drepturilor cuvenite acestuia în temeiul clauzei stipulate la paragraful 3.1 din Anexa nr. 1, de acordare a bonusului de performanță, nu prezintă relevanță realizarea celorlalți indicatori de performanță menționați la paragraful 2.1 - 2.4 și 4.1 - 4.3 din Anexa nr. 1.</w:t>
      </w:r>
    </w:p>
    <w:p w14:paraId="37574FCC"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Instanța de apel a constatat că atât clauzele contractuale, cât și dispozițiile O.U.G. nr. 109/2011 nu prevăd o interdependență a elementelor componentei variabile a remunerației, bonusul de performanță nefiind inclus în cadrul indicatorilor de performanță, calculul acesteia fiind în funcție de rentabilitatea acțiunilor B. și este determinat riguros, prin formele clare de calcul, asemănătoare profitului acționarilor societății, plata bonusului de performanță nefiind condiționată de îndeplinirea niciunui alt obiectiv sau indicator, emiterea certificatelor dând naștere dreptului reclamantului la valorificare, în conformitate cu prevederile contractuale.</w:t>
      </w:r>
    </w:p>
    <w:p w14:paraId="2B9D0ADF"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35. Cele constatate de către instanța de apel din analiza probatoriilor administrate, respectiv a contractelor și celorlalte înscrisuri depuse în probatoriu, nu pot fi cenzurate de către instanța de recurs, nefiind săvârșit de către instanța de apel nici un act de încălcare sau aplicare greșită a normelor de drept material, ci doar o statuare cu privire la situația de fapt asupra căreia instanța de apel este suverană.</w:t>
      </w:r>
    </w:p>
    <w:p w14:paraId="42B6C49C"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36. Prin criticile formulate recurenta-pârâtă nu face referire, de altfel, la vreo încălcare sau aplicare greșită a normelor de drept material de către instanța de apel, ci reiterează apărările în fapt pe care le-a susținut în fața instanțelor de fond cu privire la elemente de fapt referitoare la executarea contractului, modalitatea de îndeplinire și executare a obligațiilor asumate, criterii de realizare și îndeplinire a unor indicatori, aspecte care nu converg spre demonstrarea nelegalității hotărârii atacate, în sensul prevăzut de dispozițiile art. 488 alin. 1 pct. 8 C. proc. civ.</w:t>
      </w:r>
    </w:p>
    <w:p w14:paraId="78A165F7"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37. Având în vedere considerentele ce preced, în baza dispozițiilor art. 496 C. proc. civ., Înalta Curte a respins recursul, ca nefondat.</w:t>
      </w:r>
    </w:p>
    <w:p w14:paraId="62D1B801" w14:textId="77777777" w:rsidR="00FE7A6C" w:rsidRPr="00250C7F" w:rsidRDefault="00FE7A6C" w:rsidP="00FE7A6C">
      <w:pPr>
        <w:spacing w:after="0" w:line="276" w:lineRule="auto"/>
        <w:ind w:firstLine="720"/>
        <w:jc w:val="both"/>
        <w:rPr>
          <w:rFonts w:ascii="Times New Roman" w:hAnsi="Times New Roman"/>
          <w:sz w:val="24"/>
          <w:szCs w:val="24"/>
        </w:rPr>
      </w:pPr>
      <w:r w:rsidRPr="00250C7F">
        <w:rPr>
          <w:rFonts w:ascii="Times New Roman" w:hAnsi="Times New Roman"/>
          <w:sz w:val="24"/>
          <w:szCs w:val="24"/>
        </w:rPr>
        <w:t>Văzând și dispozițiile art. 451 - 453 C. proc. civ., obligă recurenta-pârâtă la plata sumei de 2923,64 lei cu titlu de cheltuieli de judecată către intimatul-reclamant.</w:t>
      </w:r>
    </w:p>
    <w:p w14:paraId="60F4BA59" w14:textId="2383F9B8" w:rsidR="004A57BB" w:rsidRPr="00250C7F" w:rsidRDefault="004A57BB" w:rsidP="00891584">
      <w:pPr>
        <w:spacing w:after="0" w:line="276" w:lineRule="auto"/>
        <w:jc w:val="both"/>
        <w:rPr>
          <w:rFonts w:ascii="Times New Roman" w:hAnsi="Times New Roman" w:cs="Times New Roman"/>
          <w:bCs/>
          <w:sz w:val="24"/>
          <w:szCs w:val="24"/>
          <w:highlight w:val="yellow"/>
        </w:rPr>
      </w:pPr>
    </w:p>
    <w:p w14:paraId="190FD9E5" w14:textId="21C0547B" w:rsidR="00C7648A" w:rsidRPr="00250C7F" w:rsidRDefault="00C7648A" w:rsidP="00891584">
      <w:pPr>
        <w:spacing w:after="0" w:line="276" w:lineRule="auto"/>
        <w:jc w:val="both"/>
        <w:rPr>
          <w:rFonts w:ascii="Times New Roman" w:hAnsi="Times New Roman" w:cs="Times New Roman"/>
          <w:bCs/>
          <w:sz w:val="24"/>
          <w:szCs w:val="24"/>
          <w:highlight w:val="yellow"/>
        </w:rPr>
      </w:pPr>
    </w:p>
    <w:p w14:paraId="6A75AD0D" w14:textId="5D553760" w:rsidR="00C7648A" w:rsidRPr="00250C7F" w:rsidRDefault="00C7648A" w:rsidP="00891584">
      <w:pPr>
        <w:spacing w:after="0" w:line="276" w:lineRule="auto"/>
        <w:jc w:val="both"/>
        <w:rPr>
          <w:rFonts w:ascii="Times New Roman" w:hAnsi="Times New Roman" w:cs="Times New Roman"/>
          <w:bCs/>
          <w:sz w:val="24"/>
          <w:szCs w:val="24"/>
          <w:highlight w:val="yellow"/>
        </w:rPr>
      </w:pPr>
    </w:p>
    <w:p w14:paraId="293A4235" w14:textId="128F83B3" w:rsidR="00C7648A" w:rsidRPr="00250C7F" w:rsidRDefault="00C7648A" w:rsidP="00891584">
      <w:pPr>
        <w:spacing w:after="0" w:line="276" w:lineRule="auto"/>
        <w:jc w:val="both"/>
        <w:rPr>
          <w:rFonts w:ascii="Times New Roman" w:hAnsi="Times New Roman" w:cs="Times New Roman"/>
          <w:bCs/>
          <w:sz w:val="24"/>
          <w:szCs w:val="24"/>
          <w:highlight w:val="yellow"/>
        </w:rPr>
      </w:pPr>
    </w:p>
    <w:p w14:paraId="26BC2945" w14:textId="77777777" w:rsidR="00C7648A" w:rsidRPr="00250C7F" w:rsidRDefault="00C7648A" w:rsidP="00891584">
      <w:pPr>
        <w:spacing w:after="0" w:line="276" w:lineRule="auto"/>
        <w:jc w:val="both"/>
        <w:rPr>
          <w:rFonts w:ascii="Times New Roman" w:hAnsi="Times New Roman" w:cs="Times New Roman"/>
          <w:bCs/>
          <w:sz w:val="24"/>
          <w:szCs w:val="24"/>
          <w:highlight w:val="yellow"/>
        </w:rPr>
      </w:pPr>
    </w:p>
    <w:p w14:paraId="389C696E" w14:textId="77777777" w:rsidR="00D45366" w:rsidRPr="00250C7F" w:rsidRDefault="00D45366" w:rsidP="00891584">
      <w:pPr>
        <w:spacing w:after="0" w:line="276" w:lineRule="auto"/>
        <w:jc w:val="both"/>
        <w:rPr>
          <w:rFonts w:ascii="Times New Roman" w:eastAsia="Times New Roman" w:hAnsi="Times New Roman" w:cs="Times New Roman"/>
          <w:b/>
          <w:bCs/>
          <w:sz w:val="24"/>
          <w:szCs w:val="24"/>
          <w:highlight w:val="yellow"/>
        </w:rPr>
      </w:pPr>
    </w:p>
    <w:p w14:paraId="279DDDE5" w14:textId="77777777" w:rsidR="004A57BB" w:rsidRPr="00250C7F" w:rsidRDefault="004A57BB" w:rsidP="00891584">
      <w:pPr>
        <w:pStyle w:val="Heading1"/>
        <w:spacing w:line="276" w:lineRule="auto"/>
        <w:rPr>
          <w:b w:val="0"/>
          <w:sz w:val="24"/>
          <w:szCs w:val="24"/>
          <w:lang w:val="ro-RO"/>
        </w:rPr>
      </w:pPr>
      <w:bookmarkStart w:id="25" w:name="_Toc84584815"/>
      <w:r w:rsidRPr="00250C7F">
        <w:rPr>
          <w:sz w:val="24"/>
          <w:szCs w:val="24"/>
          <w:lang w:val="ro-RO"/>
        </w:rPr>
        <w:lastRenderedPageBreak/>
        <w:t>DREPT</w:t>
      </w:r>
      <w:r w:rsidR="006622A7" w:rsidRPr="00250C7F">
        <w:rPr>
          <w:sz w:val="24"/>
          <w:szCs w:val="24"/>
          <w:lang w:val="ro-RO"/>
        </w:rPr>
        <w:t xml:space="preserve"> FINANCIAR ŞI</w:t>
      </w:r>
      <w:r w:rsidRPr="00250C7F">
        <w:rPr>
          <w:sz w:val="24"/>
          <w:szCs w:val="24"/>
          <w:lang w:val="ro-RO"/>
        </w:rPr>
        <w:t xml:space="preserve"> FISCAL</w:t>
      </w:r>
      <w:bookmarkEnd w:id="25"/>
    </w:p>
    <w:p w14:paraId="6E5673CE" w14:textId="77777777" w:rsidR="004A57BB" w:rsidRPr="00250C7F" w:rsidRDefault="004A57BB" w:rsidP="00891584">
      <w:pPr>
        <w:spacing w:line="276" w:lineRule="auto"/>
        <w:jc w:val="both"/>
        <w:rPr>
          <w:rFonts w:ascii="Times New Roman" w:hAnsi="Times New Roman" w:cs="Times New Roman"/>
          <w:b/>
          <w:sz w:val="24"/>
          <w:szCs w:val="24"/>
          <w:highlight w:val="yellow"/>
        </w:rPr>
      </w:pPr>
    </w:p>
    <w:p w14:paraId="00E2DC4C" w14:textId="478D9791" w:rsidR="00910471" w:rsidRPr="00250C7F" w:rsidRDefault="006622A7" w:rsidP="00CB3E33">
      <w:pPr>
        <w:pStyle w:val="Heading3"/>
        <w:spacing w:before="0" w:line="276" w:lineRule="auto"/>
        <w:jc w:val="both"/>
        <w:rPr>
          <w:rFonts w:ascii="Times New Roman" w:hAnsi="Times New Roman" w:cs="Times New Roman"/>
          <w:b/>
          <w:color w:val="auto"/>
          <w:shd w:val="clear" w:color="auto" w:fill="FFFFFF"/>
        </w:rPr>
      </w:pPr>
      <w:bookmarkStart w:id="26" w:name="_Toc84584816"/>
      <w:r w:rsidRPr="00250C7F">
        <w:rPr>
          <w:rFonts w:ascii="Times New Roman" w:hAnsi="Times New Roman" w:cs="Times New Roman"/>
          <w:b/>
          <w:color w:val="auto"/>
          <w:shd w:val="clear" w:color="auto" w:fill="FFFFFF"/>
        </w:rPr>
        <w:t xml:space="preserve">1. </w:t>
      </w:r>
      <w:r w:rsidR="00910471" w:rsidRPr="00250C7F">
        <w:rPr>
          <w:rFonts w:ascii="Times New Roman" w:hAnsi="Times New Roman" w:cs="Times New Roman"/>
          <w:b/>
          <w:color w:val="auto"/>
          <w:shd w:val="clear" w:color="auto" w:fill="FFFFFF"/>
        </w:rPr>
        <w:t>Act administrativ-fiscal. Comunicare. Nerespectarea de către organul fiscal a cerințelor legale privitoare la comunicarea actului administrativ fiscal contestat. Nelegalitatea soluției de respingere ca tardivă a contestației formulate în temeiul art. 218 din Codul de procedură fiscală.</w:t>
      </w:r>
      <w:bookmarkEnd w:id="26"/>
    </w:p>
    <w:p w14:paraId="31E3B17E" w14:textId="77777777" w:rsidR="00A74B16" w:rsidRPr="00250C7F" w:rsidRDefault="00A74B16" w:rsidP="00CB3E33">
      <w:pPr>
        <w:spacing w:after="0" w:line="240" w:lineRule="auto"/>
        <w:rPr>
          <w:rFonts w:ascii="Times New Roman" w:hAnsi="Times New Roman" w:cs="Times New Roman"/>
          <w:bCs/>
          <w:sz w:val="24"/>
          <w:szCs w:val="24"/>
          <w:shd w:val="clear" w:color="auto" w:fill="FFFFFF"/>
        </w:rPr>
      </w:pPr>
    </w:p>
    <w:p w14:paraId="55E384DF" w14:textId="15B80449" w:rsidR="00910471" w:rsidRPr="00250C7F" w:rsidRDefault="00A74B16" w:rsidP="00CB3E33">
      <w:pPr>
        <w:spacing w:after="0" w:line="240" w:lineRule="auto"/>
        <w:jc w:val="right"/>
        <w:rPr>
          <w:rFonts w:ascii="Times New Roman" w:hAnsi="Times New Roman" w:cs="Times New Roman"/>
          <w:bCs/>
          <w:sz w:val="24"/>
          <w:szCs w:val="24"/>
          <w:shd w:val="clear" w:color="auto" w:fill="FFFFFF"/>
        </w:rPr>
      </w:pPr>
      <w:r w:rsidRPr="00250C7F">
        <w:rPr>
          <w:rFonts w:ascii="Times New Roman" w:hAnsi="Times New Roman" w:cs="Times New Roman"/>
          <w:bCs/>
          <w:sz w:val="24"/>
          <w:szCs w:val="24"/>
          <w:shd w:val="clear" w:color="auto" w:fill="FFFFFF"/>
        </w:rPr>
        <w:t xml:space="preserve">OG nr. 92/2003 privind </w:t>
      </w:r>
      <w:r w:rsidR="00910471" w:rsidRPr="00250C7F">
        <w:rPr>
          <w:rFonts w:ascii="Times New Roman" w:hAnsi="Times New Roman" w:cs="Times New Roman"/>
          <w:bCs/>
          <w:sz w:val="24"/>
          <w:szCs w:val="24"/>
          <w:shd w:val="clear" w:color="auto" w:fill="FFFFFF"/>
        </w:rPr>
        <w:t>Codul de procedură fiscală, art. 44 alin. (2) lit. a)-c, art. 218</w:t>
      </w:r>
    </w:p>
    <w:p w14:paraId="4F89111A" w14:textId="77777777" w:rsidR="00875DA3" w:rsidRPr="00250C7F" w:rsidRDefault="00875DA3" w:rsidP="00CB3E33">
      <w:pPr>
        <w:spacing w:after="0" w:line="240" w:lineRule="auto"/>
        <w:jc w:val="right"/>
        <w:rPr>
          <w:rFonts w:ascii="Times New Roman" w:hAnsi="Times New Roman" w:cs="Times New Roman"/>
          <w:bCs/>
          <w:sz w:val="24"/>
          <w:szCs w:val="24"/>
          <w:shd w:val="clear" w:color="auto" w:fill="FFFFFF"/>
        </w:rPr>
      </w:pPr>
    </w:p>
    <w:p w14:paraId="3DF32247" w14:textId="26E65F89" w:rsidR="00A74B16" w:rsidRPr="00250C7F" w:rsidRDefault="00A74B16" w:rsidP="00CB3E33">
      <w:pPr>
        <w:spacing w:after="0" w:line="276" w:lineRule="auto"/>
        <w:ind w:firstLine="708"/>
        <w:jc w:val="both"/>
        <w:rPr>
          <w:rFonts w:ascii="Times New Roman" w:eastAsia="Calibri" w:hAnsi="Times New Roman" w:cs="Times New Roman"/>
          <w:i/>
          <w:sz w:val="24"/>
          <w:szCs w:val="24"/>
        </w:rPr>
      </w:pPr>
      <w:r w:rsidRPr="00250C7F">
        <w:rPr>
          <w:rFonts w:ascii="Times New Roman" w:eastAsia="Calibri" w:hAnsi="Times New Roman" w:cs="Times New Roman"/>
          <w:i/>
          <w:sz w:val="24"/>
          <w:szCs w:val="24"/>
        </w:rPr>
        <w:t>Interesul public al bunei administrări a creanţelor fiscale implică necesitatea comunicării actului administrativ fiscal prin modalităţi care să asigure aducerea efectivă a existenţei obligaţiei fiscale la cunoştinţa contribuabilului.</w:t>
      </w:r>
    </w:p>
    <w:p w14:paraId="1A0A93DB" w14:textId="6B0CB578" w:rsidR="00910471" w:rsidRPr="00250C7F" w:rsidRDefault="00910471" w:rsidP="00CB3E33">
      <w:pPr>
        <w:spacing w:after="0" w:line="276" w:lineRule="auto"/>
        <w:ind w:firstLine="708"/>
        <w:jc w:val="both"/>
        <w:rPr>
          <w:rFonts w:ascii="Times New Roman" w:eastAsia="Calibri" w:hAnsi="Times New Roman" w:cs="Times New Roman"/>
          <w:i/>
          <w:sz w:val="24"/>
          <w:szCs w:val="24"/>
        </w:rPr>
      </w:pPr>
      <w:r w:rsidRPr="00250C7F">
        <w:rPr>
          <w:rFonts w:ascii="Times New Roman" w:eastAsia="Calibri" w:hAnsi="Times New Roman" w:cs="Times New Roman"/>
          <w:i/>
          <w:sz w:val="24"/>
          <w:szCs w:val="24"/>
        </w:rPr>
        <w:t>Legiuitorul a prevăzut că actele administrative fiscale pot fi comunicate prin publicitate și în cazul în care domiciliul contribuabilului este cunoscut</w:t>
      </w:r>
      <w:r w:rsidR="00A74B16" w:rsidRPr="00250C7F">
        <w:rPr>
          <w:rFonts w:ascii="Times New Roman" w:eastAsia="Calibri" w:hAnsi="Times New Roman" w:cs="Times New Roman"/>
          <w:i/>
          <w:sz w:val="24"/>
          <w:szCs w:val="24"/>
        </w:rPr>
        <w:t xml:space="preserve">, </w:t>
      </w:r>
      <w:r w:rsidRPr="00250C7F">
        <w:rPr>
          <w:rFonts w:ascii="Times New Roman" w:eastAsia="Calibri" w:hAnsi="Times New Roman" w:cs="Times New Roman"/>
          <w:i/>
          <w:sz w:val="24"/>
          <w:szCs w:val="24"/>
        </w:rPr>
        <w:t xml:space="preserve">însă, după cum a reţinut și Curtea Constituțională în jurisprudența sa, trebuie ca anterior recurgerii la această modalitate, să fi fost respectată cu strictețe ordinea prevăzută în art. 44 alin. (2) lit. a)-c) din Ordonanța Guvernului nr. 92/2003, astfel încât comunicarea prin publicitate să reprezinte doar o modalitate ultimă și subsidiară. </w:t>
      </w:r>
    </w:p>
    <w:p w14:paraId="22D7098F" w14:textId="77777777" w:rsidR="00910471" w:rsidRPr="00250C7F" w:rsidRDefault="00910471" w:rsidP="000F2C11">
      <w:pPr>
        <w:spacing w:after="0" w:line="276" w:lineRule="auto"/>
        <w:ind w:firstLine="708"/>
        <w:jc w:val="both"/>
        <w:rPr>
          <w:rFonts w:ascii="Times New Roman" w:eastAsia="Calibri" w:hAnsi="Times New Roman" w:cs="Times New Roman"/>
          <w:i/>
          <w:sz w:val="24"/>
          <w:szCs w:val="24"/>
        </w:rPr>
      </w:pPr>
      <w:r w:rsidRPr="00250C7F">
        <w:rPr>
          <w:rFonts w:ascii="Times New Roman" w:eastAsia="Calibri" w:hAnsi="Times New Roman" w:cs="Times New Roman"/>
          <w:i/>
          <w:sz w:val="24"/>
          <w:szCs w:val="24"/>
        </w:rPr>
        <w:t>Or, în condițiile în care organul fiscal, în procedura de comunicare a actului administrativ-fiscal prin scrisoare recomandată, nu a respectat termenul de păstrare a acesteia (aplicând un termen convenit inter-partes cu operatorul de servicii poștale, termen care nu era, însă, opozabil contribuabilului) și a demarat, astfel, procedura de comunicare prin publicitate anterior datei la care aceasta era legal posibilă (această ultimă procedură fiind,  la rândul său, viciată), în mod nelegal a respins, apoi, ca tardivă contestația contribuabilului formulată împotriva respectivului act. Prin urmare, soluția primei instanțe de admitere a acțiunii formulată împotriva deciziei autorității fiscale de respingere ca tardivă a contestației  contribuabilului fost menținută.</w:t>
      </w:r>
    </w:p>
    <w:p w14:paraId="47518B24" w14:textId="77777777" w:rsidR="006622A7" w:rsidRPr="00250C7F" w:rsidRDefault="006622A7" w:rsidP="00891584">
      <w:pPr>
        <w:spacing w:after="0" w:line="276" w:lineRule="auto"/>
        <w:rPr>
          <w:rFonts w:ascii="Times New Roman" w:hAnsi="Times New Roman" w:cs="Times New Roman"/>
          <w:i/>
          <w:sz w:val="24"/>
          <w:szCs w:val="24"/>
          <w:shd w:val="clear" w:color="auto" w:fill="FFFFFF"/>
        </w:rPr>
      </w:pPr>
    </w:p>
    <w:p w14:paraId="1E53ACFC" w14:textId="21D97B07" w:rsidR="006622A7" w:rsidRPr="00250C7F" w:rsidRDefault="006622A7" w:rsidP="00891584">
      <w:pPr>
        <w:spacing w:after="0" w:line="276" w:lineRule="auto"/>
        <w:rPr>
          <w:rFonts w:ascii="Times New Roman" w:hAnsi="Times New Roman" w:cs="Times New Roman"/>
          <w:sz w:val="24"/>
          <w:szCs w:val="24"/>
          <w:shd w:val="clear" w:color="auto" w:fill="FFFFFF"/>
        </w:rPr>
      </w:pPr>
      <w:r w:rsidRPr="00250C7F">
        <w:rPr>
          <w:rFonts w:ascii="Times New Roman" w:hAnsi="Times New Roman" w:cs="Times New Roman"/>
          <w:sz w:val="24"/>
          <w:szCs w:val="24"/>
        </w:rPr>
        <w:t>I.C.C.J</w:t>
      </w:r>
      <w:r w:rsidR="00B37899" w:rsidRPr="00250C7F">
        <w:rPr>
          <w:rFonts w:ascii="Times New Roman" w:hAnsi="Times New Roman" w:cs="Times New Roman"/>
          <w:sz w:val="24"/>
          <w:szCs w:val="24"/>
        </w:rPr>
        <w:t>.</w:t>
      </w:r>
      <w:r w:rsidRPr="00250C7F">
        <w:rPr>
          <w:rFonts w:ascii="Times New Roman" w:hAnsi="Times New Roman" w:cs="Times New Roman"/>
          <w:sz w:val="24"/>
          <w:szCs w:val="24"/>
        </w:rPr>
        <w:t>, Secţia de contencios administrativ şi fiscal</w:t>
      </w:r>
      <w:r w:rsidRPr="00250C7F">
        <w:rPr>
          <w:rFonts w:ascii="Times New Roman" w:eastAsia="Times New Roman" w:hAnsi="Times New Roman" w:cs="Times New Roman"/>
          <w:sz w:val="24"/>
          <w:szCs w:val="24"/>
        </w:rPr>
        <w:t xml:space="preserve">, decizia nr. </w:t>
      </w:r>
      <w:r w:rsidR="00910471" w:rsidRPr="00250C7F">
        <w:rPr>
          <w:rFonts w:ascii="Times New Roman" w:hAnsi="Times New Roman" w:cs="Times New Roman"/>
          <w:sz w:val="24"/>
          <w:szCs w:val="24"/>
          <w:shd w:val="clear" w:color="auto" w:fill="FFFFFF"/>
        </w:rPr>
        <w:t>14 din 12 ianuarie 2021</w:t>
      </w:r>
    </w:p>
    <w:p w14:paraId="0B200F46" w14:textId="77777777" w:rsidR="006622A7" w:rsidRPr="00250C7F" w:rsidRDefault="006622A7" w:rsidP="00891584">
      <w:pPr>
        <w:spacing w:after="0" w:line="276" w:lineRule="auto"/>
        <w:jc w:val="both"/>
        <w:rPr>
          <w:rFonts w:ascii="Times New Roman" w:hAnsi="Times New Roman" w:cs="Times New Roman"/>
          <w:b/>
          <w:sz w:val="24"/>
          <w:szCs w:val="24"/>
          <w:shd w:val="clear" w:color="auto" w:fill="FFFFFF"/>
        </w:rPr>
      </w:pPr>
    </w:p>
    <w:p w14:paraId="2C2015D1" w14:textId="77777777" w:rsidR="00910471" w:rsidRPr="00250C7F" w:rsidRDefault="00910471" w:rsidP="00910471">
      <w:pPr>
        <w:numPr>
          <w:ilvl w:val="0"/>
          <w:numId w:val="39"/>
        </w:numPr>
        <w:spacing w:after="0" w:line="276" w:lineRule="auto"/>
        <w:contextualSpacing/>
        <w:jc w:val="both"/>
        <w:rPr>
          <w:rFonts w:ascii="Times New Roman" w:eastAsia="Calibri" w:hAnsi="Times New Roman" w:cs="Times New Roman"/>
          <w:i/>
          <w:sz w:val="24"/>
          <w:szCs w:val="24"/>
        </w:rPr>
      </w:pPr>
      <w:r w:rsidRPr="00250C7F">
        <w:rPr>
          <w:rFonts w:ascii="Times New Roman" w:eastAsia="Arial Unicode MS" w:hAnsi="Times New Roman" w:cs="Times New Roman"/>
          <w:b/>
          <w:i/>
          <w:sz w:val="24"/>
          <w:szCs w:val="24"/>
          <w:u w:color="000000"/>
          <w:bdr w:val="nil"/>
          <w:lang w:eastAsia="ro-RO"/>
        </w:rPr>
        <w:t>Cererea de chemare în judecată</w:t>
      </w:r>
      <w:r w:rsidRPr="00250C7F">
        <w:rPr>
          <w:rFonts w:ascii="Times New Roman" w:eastAsia="Arial Unicode MS" w:hAnsi="Times New Roman" w:cs="Times New Roman"/>
          <w:sz w:val="24"/>
          <w:szCs w:val="24"/>
          <w:u w:color="000000"/>
          <w:bdr w:val="nil"/>
          <w:lang w:eastAsia="ro-RO"/>
        </w:rPr>
        <w:tab/>
      </w:r>
    </w:p>
    <w:p w14:paraId="65F1C186" w14:textId="77777777" w:rsidR="00910471" w:rsidRPr="00250C7F" w:rsidRDefault="00910471" w:rsidP="00910471">
      <w:pPr>
        <w:spacing w:after="0" w:line="276" w:lineRule="auto"/>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b/>
        <w:t>Prin cererea înregistrată pe rolul Curţii de Apel Cluj – Secţia a III-a contencios administrativ şi fiscal, data de 03.11.2016, reclamanta A, în contradictoriu cu Agenţia Naţională de Administrare Fiscala - Direcţia Generala Regională a Finanţelor Publice Cluj-Napoca - Administraţia Judeţeană a Finanţelor Publice Cluj, a solicitat, în principal, anularea Deciziei nr. 252/27.04.2016 emisă de Agenţia Naţională de Administrare Fiscală - Direcţia Generală Regională a Finanţelor Publice Cluj-Napoca - Serviciul de Soluţionare a Contestaţiilor 1, privind soluţionarea contestaţiei formulate de reclamantă împotriva Deciziei de impunere nr. 91389/1 din 07.10.2015 întocmită de AJ.F.P. Cluj - Serviciul inspecţie fiscală Persoane Fizice 1, având la bază Raportul de inspecţie fiscala nr. 91.389 din 07.10.2015, şi obligarea organului de soluţionare să soluţioneze pe fond contestaţia.</w:t>
      </w:r>
    </w:p>
    <w:p w14:paraId="069A2047"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subsidiar, pentru ipoteza în care nu se va dispune obligarea organului de soluţionare de a proceda la soluţionarea pe fond a contestaţiei formulate, a solicitat anularea Deciziei nr. 252/27.04.2016 emisă de Agenţia Naţională de Administrare Fiscală - Direcţia Generală </w:t>
      </w:r>
      <w:r w:rsidRPr="00250C7F">
        <w:rPr>
          <w:rFonts w:ascii="Times New Roman" w:eastAsia="Calibri" w:hAnsi="Times New Roman" w:cs="Times New Roman"/>
          <w:sz w:val="24"/>
          <w:szCs w:val="24"/>
        </w:rPr>
        <w:lastRenderedPageBreak/>
        <w:t>Regională a Finanţelor Publice Cluj-Napoca - Serviciul de Soluţionare a Contestaţiilor 1, precum şi a Deciziei de impunere nr. 91.389/1 din 07.10.2015, precum şi a măsurilor stabilite, acte având la bază Raportul de inspecţie fiscală nr 91.389 din 07.10.2015.</w:t>
      </w:r>
    </w:p>
    <w:p w14:paraId="61D4FB2A"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De asemenea, faţă de soluţia dispusă de către organul de soluţionare prin Decizia nr. 252/27.04.2016 prin care a fost respinsă contestaţia ca tardiv formulată, pentru ipoteza în care instanţa va concluziona că, toate criticile formulate în prealabil de reclamantă cu referire la procedura de comunicare a actelor administrativ fiscale nu pot fi primite, a solicitat repunerea în termenul de formulare a contestaţiei.</w:t>
      </w:r>
    </w:p>
    <w:p w14:paraId="42B45D03" w14:textId="1587B464" w:rsidR="00910471" w:rsidRPr="00250C7F" w:rsidRDefault="00910471" w:rsidP="00910471">
      <w:pPr>
        <w:pStyle w:val="ListParagraph"/>
        <w:numPr>
          <w:ilvl w:val="0"/>
          <w:numId w:val="39"/>
        </w:numPr>
        <w:spacing w:line="276" w:lineRule="auto"/>
        <w:jc w:val="both"/>
        <w:rPr>
          <w:rFonts w:ascii="Times New Roman" w:hAnsi="Times New Roman" w:cs="Times New Roman"/>
          <w:b/>
          <w:i/>
          <w:sz w:val="24"/>
          <w:szCs w:val="24"/>
        </w:rPr>
      </w:pPr>
      <w:r w:rsidRPr="00250C7F">
        <w:rPr>
          <w:rFonts w:ascii="Times New Roman" w:hAnsi="Times New Roman" w:cs="Times New Roman"/>
          <w:b/>
          <w:i/>
          <w:sz w:val="24"/>
          <w:szCs w:val="24"/>
        </w:rPr>
        <w:t>Soluţia instanţei de fond</w:t>
      </w:r>
    </w:p>
    <w:p w14:paraId="1C61255E"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Sentinţa civilă nr. </w:t>
      </w:r>
      <w:r w:rsidRPr="00250C7F">
        <w:rPr>
          <w:rFonts w:ascii="Times New Roman" w:eastAsia="Calibri" w:hAnsi="Times New Roman" w:cs="Times New Roman"/>
          <w:bCs/>
          <w:iCs/>
          <w:sz w:val="24"/>
          <w:szCs w:val="24"/>
        </w:rPr>
        <w:t xml:space="preserve">105/2017 </w:t>
      </w:r>
      <w:r w:rsidRPr="00250C7F">
        <w:rPr>
          <w:rFonts w:ascii="Times New Roman" w:eastAsia="Calibri" w:hAnsi="Times New Roman" w:cs="Times New Roman"/>
          <w:iCs/>
          <w:sz w:val="24"/>
          <w:szCs w:val="24"/>
        </w:rPr>
        <w:t>din</w:t>
      </w:r>
      <w:r w:rsidRPr="00250C7F">
        <w:rPr>
          <w:rFonts w:ascii="Times New Roman" w:eastAsia="Calibri" w:hAnsi="Times New Roman" w:cs="Times New Roman"/>
          <w:sz w:val="24"/>
          <w:szCs w:val="24"/>
        </w:rPr>
        <w:t xml:space="preserve"> 10 martie 2017 Curtea de Apel Cluj – Secţia a III-a de Contencios Administrativ şi Fiscal a admis cererea de chemare în judecată formulată de reclamanta A împotriva pârâtei Agenţia Naţională de Administrare Fiscala - Direcţia Generala Regională a Finanţelor Publice Cluj-Napoca - Administraţia Judeţeană a Finanţelor Publice Cluj, a anulat Decizia nr.252/27.04.2016 emisă de Agenţia Naţională de Administrare Fiscala - Direcţia Generala Regională a Finanţelor Publice Cluj-Napoca – Serviciul de Soluţionare a Contestaţiilor, privind soluţionarea contestaţiei formulată de reclamantă împotriva Deciziei de impunere nr. 91389/1/7.10.2015 emisă de AJFP Cluj – Serviciul de Inspecţie fiscală Persoane Fizice 1, având la bază RIF nr. 91.389/7.10.2015, şi a obligat organul de soluţionare să procedeze la soluţionarea pe fond a contestaţiei formulate.</w:t>
      </w:r>
    </w:p>
    <w:p w14:paraId="55E3427E"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Pentru a pronunţa această hotărâre, prima instanţă a reţinut, în esenţă, că aplicând Regulamentul Companiei Posta Româna SA cu privire la trimiterile interne cu confirmare de primire, rezultă că acest timp de circulaţie a început să curgă în data de 13.10.2015 adăugându-se 10 zile lucrătoare. Ţinând cont de faptul că zilele de sâmbăta şi duminică nu sunt zile lucrătoare (f. 157 vol. II) rezultă că acest termen s-a împlinit la data de 28.10.2015. Practic până în data de 27.10.2015 inclusiv era obligatorie păstrarea acestei trimiteri recomandate cu confirmare de primire la dispoziţia destinatarului urmând ca restituirea să fie posibilă doar începând cu data de 28.10.2015. În speţă restituirea s-a realizat anterior expirării acestui termen în data de 27.10.2015. Chiar dacă reclamanta nu a făcut dovada că s-a prezentat în data de 27.10.2015 şi nu a mai putut ridica recomandata care era deja returnată, acestă returnare anterioară expirării timpului legal de circulaţie afectează legalitatea procedurii de comunicare prin publicitate, procedură realizată potrivit art. 44 alin. 4 din OG 92/2003 și care a început înainte ca legal să fie posibilă acestă procedură.</w:t>
      </w:r>
      <w:r w:rsidRPr="00250C7F">
        <w:rPr>
          <w:rFonts w:ascii="Times New Roman" w:eastAsia="Calibri" w:hAnsi="Times New Roman" w:cs="Times New Roman"/>
          <w:sz w:val="24"/>
          <w:szCs w:val="24"/>
        </w:rPr>
        <w:tab/>
      </w:r>
    </w:p>
    <w:p w14:paraId="0A7AB039"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S-a mai arătat că, din actele comunicate de către pârâtă şi lămuririle suplimentare date la adresele efectuate de către instanță rezultă că la sediul organului fiscal afișarea s-a realizat în data de 28.10.2015, iar pe pagina de internet în data de 29.10.2015. Potrivit Ordinului 94/2006, act ce reglementează această procedură de comunicare, comunicarea actului administrativ fiscal prin publicitate se realizează prin afişarea, concomitent la sediul autorităţii emitente şi pe pagina de Internet a acesteia, a unui anunţ în care se menţionează că a fost emis actul administrativ fiscal pe numele contribuabilului. Anunţul va fi păstrat o perioadă de 15 zile de la data afişării.</w:t>
      </w:r>
    </w:p>
    <w:p w14:paraId="1FC72305"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Din actele prezentate de pârâtă privind afișarea anunțului la sediul organului fiscal rezultă doar că acest act a fost afișat la data de 28.10.2015 fără a se menționa durata păstrării sale. Rațiunea instituirii obligației ca acest act să fie păstrat timp de 15 zile este tocmai aceea de a asigura posibilitatea cunoașterii emiterii respectivului act administrativ fiscal. Or, în speţă această posibilitate nu a fost asigurată aspect ce viciază în mod fundamental legalitatea procedurii de </w:t>
      </w:r>
      <w:r w:rsidRPr="00250C7F">
        <w:rPr>
          <w:rFonts w:ascii="Times New Roman" w:eastAsia="Calibri" w:hAnsi="Times New Roman" w:cs="Times New Roman"/>
          <w:sz w:val="24"/>
          <w:szCs w:val="24"/>
        </w:rPr>
        <w:lastRenderedPageBreak/>
        <w:t>comunicare. În plus, în actul de la f. 35 vol II se indică un anumit domiciliu al reclamantei, iar în actul comunicat la solicitarea instanței aflat la f. 178 vol II se arată o altă adresă a reclamantei, ceea ce ridică serioase semne de întrebare asupra realităţii afișării anunțului la sediul organului fiscal. Oricum acest aspect nu este esenţial câtă vreme nu se poate dovedi că anunțul nu a fost păstrat timp de 15 zile.</w:t>
      </w:r>
    </w:p>
    <w:p w14:paraId="35974604"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concluzie, în măsura în care s-ar fi respectat prevederile legale procedura de comunicare a actului administrativ fiscal din speţă putea fi finalizată doar în data de 14.11.2015. Cu toate acestea procedura de comunicare este afectată de următoarele vicii: nepăstrarea recomandatei pe termenul legal și începerea procedurii de comunicare prin publicitate anterior datei la care legal era posibilă, neafișarea concomitentă a anunțului, nepăstrarea sa timp de 15 zile pentru a asigura în mod real posibilitatea ca persoana interesată sau altcineva să afle de existența actelor în discuţie, incertitudine cu privire la conținutul actului afișat nefiind cert că s-a afișat anunțul prevăzut de lege.</w:t>
      </w:r>
    </w:p>
    <w:p w14:paraId="0765E112"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mai arătat prima instanță că în aceste condiţii această comunicare este nulă încălcând dispoziţiile art. 44 din OG 92/2003, dispoziţiile din Ordinul 94/2006, încălcare ce vatămă drepturile reclamantei, vătămare ce nu poate fi înlăturată decât prin anularea actelor prin care s-a realizat această comunicare. În urma acestei anulări era necesar ca organul fiscal să reia procedura de comunicare. Această procedură a fost reluată, reclamantei fiindu-i comunicate actele administrativ fiscale din speţă prin scrisoare recomandată cu confirmare de primire la data de 13.01.2016 (f. 36,36 vol II). Raportat la această dată de comunicare, contestaţia depusă la data de 14.01.2016 și completată la data de 12.02.2016 este formulată în termenul legal prevăzut de art. 207 din OG 92/2003. În aceste condiţii soluția de respingere a contestaţiei este nelegală impunându-se anularea ei.</w:t>
      </w:r>
    </w:p>
    <w:p w14:paraId="6A782C4E" w14:textId="77777777" w:rsidR="00910471" w:rsidRPr="00250C7F" w:rsidRDefault="00910471" w:rsidP="00910471">
      <w:pPr>
        <w:spacing w:after="0" w:line="276" w:lineRule="auto"/>
        <w:ind w:firstLine="708"/>
        <w:jc w:val="both"/>
        <w:rPr>
          <w:rFonts w:ascii="Times New Roman" w:eastAsia="Times New Roman" w:hAnsi="Times New Roman" w:cs="Times New Roman"/>
          <w:b/>
          <w:sz w:val="24"/>
          <w:szCs w:val="24"/>
        </w:rPr>
      </w:pPr>
      <w:r w:rsidRPr="00250C7F">
        <w:rPr>
          <w:rFonts w:ascii="Times New Roman" w:eastAsia="Times New Roman" w:hAnsi="Times New Roman" w:cs="Times New Roman"/>
          <w:b/>
          <w:i/>
          <w:sz w:val="24"/>
          <w:szCs w:val="24"/>
        </w:rPr>
        <w:t xml:space="preserve">3. Cererea de recurs                                                             </w:t>
      </w:r>
    </w:p>
    <w:p w14:paraId="1F489217" w14:textId="77777777" w:rsidR="00910471" w:rsidRPr="00250C7F" w:rsidRDefault="00910471" w:rsidP="00910471">
      <w:pPr>
        <w:spacing w:after="0" w:line="276" w:lineRule="auto"/>
        <w:ind w:firstLine="708"/>
        <w:jc w:val="both"/>
        <w:rPr>
          <w:rFonts w:ascii="Times New Roman" w:eastAsia="Times New Roman" w:hAnsi="Times New Roman" w:cs="Times New Roman"/>
          <w:sz w:val="24"/>
          <w:szCs w:val="24"/>
        </w:rPr>
      </w:pPr>
      <w:r w:rsidRPr="00250C7F">
        <w:rPr>
          <w:rFonts w:ascii="Times New Roman" w:eastAsia="Calibri" w:hAnsi="Times New Roman" w:cs="Times New Roman"/>
          <w:sz w:val="24"/>
          <w:szCs w:val="24"/>
        </w:rPr>
        <w:t xml:space="preserve">Împotriva acestei sentinţe </w:t>
      </w:r>
      <w:r w:rsidRPr="00250C7F">
        <w:rPr>
          <w:rFonts w:ascii="Times New Roman" w:eastAsia="Times New Roman" w:hAnsi="Times New Roman" w:cs="Times New Roman"/>
          <w:sz w:val="24"/>
          <w:szCs w:val="24"/>
        </w:rPr>
        <w:t>a declarat recurs</w:t>
      </w:r>
      <w:r w:rsidRPr="00250C7F">
        <w:rPr>
          <w:rFonts w:ascii="Times New Roman" w:eastAsia="Calibri" w:hAnsi="Times New Roman" w:cs="Times New Roman"/>
          <w:sz w:val="24"/>
          <w:szCs w:val="24"/>
        </w:rPr>
        <w:t xml:space="preserve"> pârâta Direcţia Generală Regională a Finanţelor Publice Cluj-Napoca – Administraţia Judeţeană a Finanţelor Publice Cluj</w:t>
      </w:r>
      <w:r w:rsidRPr="00250C7F">
        <w:rPr>
          <w:rFonts w:ascii="Times New Roman" w:eastAsia="Times New Roman" w:hAnsi="Times New Roman" w:cs="Times New Roman"/>
          <w:sz w:val="24"/>
          <w:szCs w:val="24"/>
        </w:rPr>
        <w:t xml:space="preserve">, invocând în drept dispoziţiile art. 488 alin. (1) pct. 8 din Codul de procedură civilă. </w:t>
      </w:r>
      <w:r w:rsidRPr="00250C7F">
        <w:rPr>
          <w:rFonts w:ascii="Times New Roman" w:eastAsia="Calibri" w:hAnsi="Times New Roman" w:cs="Times New Roman"/>
          <w:sz w:val="24"/>
          <w:szCs w:val="24"/>
        </w:rPr>
        <w:t xml:space="preserve"> </w:t>
      </w:r>
    </w:p>
    <w:p w14:paraId="3E194975" w14:textId="325FBB2E" w:rsidR="00910471" w:rsidRPr="00250C7F" w:rsidRDefault="00910471" w:rsidP="00910471">
      <w:pPr>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 motivarea căii de atac, recurenta-pârâtă a arătat, în esenţă, următoarele:</w:t>
      </w:r>
    </w:p>
    <w:p w14:paraId="6B23E3D2" w14:textId="6D06ED91"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Times New Roman" w:hAnsi="Times New Roman" w:cs="Times New Roman"/>
          <w:sz w:val="24"/>
          <w:szCs w:val="24"/>
        </w:rPr>
        <w:t>- se apreciază nelegală soluţia data de instanţa fondului, fiind încălcate prevederile art. 207 alin. (1) al OUG nr.92/2003 privind Codul de procedura fiscală, act normativ aplicabil în speţa, având în vedere dispoziţiile art.352 alin.(2) din Legea nr.207/2015. Potrivit art.207 alin.(1) din OUG nr.92/2003 privind Codul de procedură fiscală, contestaţia se va depune în termen de 30 de zile de la data comunicării actului administrativ fiscal, sub sancţiunea decăderii.</w:t>
      </w:r>
    </w:p>
    <w:p w14:paraId="5AE7D2B8" w14:textId="3DD4BDC6"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se critică motivarea instanţei care a stabilit, lecturând un regulament indicat de intimata-reclamantă de pe site-ul Companiei Poșta Română SA, necunoscut și neopozabil, ca în cauză nu are aplicabilitate nici extrasul de regulament depus în probaţiune de Oficiul poștal de la domiciliul intimatei reclamante, de unde rezultă că termenul de păstrare a recomandatelor este de 10 zile calendaristice și nici nu a pus în discuţia părţilor acest aspect, astfel încât să existe posibilitatea de a exprima o opinie în acest sens.</w:t>
      </w:r>
      <w:r w:rsidRPr="00250C7F">
        <w:rPr>
          <w:rFonts w:ascii="Times New Roman" w:eastAsia="Calibri" w:hAnsi="Times New Roman" w:cs="Times New Roman"/>
          <w:sz w:val="24"/>
          <w:szCs w:val="24"/>
        </w:rPr>
        <w:tab/>
      </w:r>
    </w:p>
    <w:p w14:paraId="0A8BB82F" w14:textId="25813690"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se învederează faptul că AJFP Cluj, structură în cadrul DGRFP Cluj, în scopul îndeplinirii procedurii de comunicare a actelor administrativ fiscale, procedură prevăzută de dispoziţiile art. 44 (2) din OG nr.92/2003, expediază scrisorile recomandate cu confirmare de primire în baza unui Contract de servicii poştale, încheiat între DGRFP Cluj și Compania Naţională Poșta Română SA.</w:t>
      </w:r>
    </w:p>
    <w:p w14:paraId="2D25A6A9" w14:textId="6916FFC9"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 instanţa fondului în mod nelegal a stabilit că în speţă ar fi aplicabil un regulament existent pe un site indicat de intimata- reclamantă și mai mult de atât a stabilit fără temei, că în speţa este vorba de trimiteri interne cu confirmare de primire, fără să definească această noţiune sau să indice temeiul legal în baza căruia a atribuit această clasificare scrisorii expediate de AJFP Cluj. Este evident că instanţa fondului face grave confuzii între diferitele tipuri de trimiteri interne și nici nu s-a aplecat suficient asupra acestei noțiuni astfel încât să fie în măsură să definească noţiunea avută în vedere.</w:t>
      </w:r>
      <w:r w:rsidRPr="00250C7F">
        <w:rPr>
          <w:rFonts w:ascii="Times New Roman" w:eastAsia="Calibri" w:hAnsi="Times New Roman" w:cs="Times New Roman"/>
          <w:sz w:val="24"/>
          <w:szCs w:val="24"/>
        </w:rPr>
        <w:tab/>
      </w:r>
    </w:p>
    <w:p w14:paraId="18777518" w14:textId="1D9CA28A" w:rsidR="00910471" w:rsidRPr="00250C7F" w:rsidRDefault="00910471" w:rsidP="00910471">
      <w:pPr>
        <w:spacing w:after="0" w:line="276" w:lineRule="auto"/>
        <w:ind w:firstLine="708"/>
        <w:jc w:val="both"/>
        <w:rPr>
          <w:rFonts w:ascii="Times New Roman" w:eastAsia="Times New Roman" w:hAnsi="Times New Roman" w:cs="Times New Roman"/>
          <w:b/>
          <w:i/>
          <w:sz w:val="24"/>
          <w:szCs w:val="24"/>
        </w:rPr>
      </w:pPr>
      <w:r w:rsidRPr="00250C7F">
        <w:rPr>
          <w:rFonts w:ascii="Times New Roman" w:eastAsia="Times New Roman" w:hAnsi="Times New Roman" w:cs="Times New Roman"/>
          <w:b/>
          <w:i/>
          <w:sz w:val="24"/>
          <w:szCs w:val="24"/>
        </w:rPr>
        <w:t>4. Apărările intimatului</w:t>
      </w:r>
    </w:p>
    <w:p w14:paraId="39D3C913" w14:textId="77777777" w:rsidR="00910471" w:rsidRPr="00250C7F" w:rsidRDefault="00910471" w:rsidP="00910471">
      <w:pPr>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Prin întâmpinarea depusă la dosar, intimata </w:t>
      </w:r>
      <w:r w:rsidRPr="00250C7F">
        <w:rPr>
          <w:rFonts w:ascii="Times New Roman" w:eastAsia="Calibri" w:hAnsi="Times New Roman" w:cs="Times New Roman"/>
          <w:sz w:val="24"/>
          <w:szCs w:val="24"/>
        </w:rPr>
        <w:t>A</w:t>
      </w:r>
      <w:r w:rsidRPr="00250C7F">
        <w:rPr>
          <w:rFonts w:ascii="Times New Roman" w:eastAsia="Times New Roman" w:hAnsi="Times New Roman" w:cs="Times New Roman"/>
          <w:sz w:val="24"/>
          <w:szCs w:val="24"/>
        </w:rPr>
        <w:t xml:space="preserve"> a solicitat respingerea recursului ca nefondat şi păstrarea în întregime a sentinţei civile nr. 105/2017 a Curţii de Apel Cluj, arătând că</w:t>
      </w:r>
      <w:r w:rsidRPr="00250C7F">
        <w:rPr>
          <w:rFonts w:ascii="Times New Roman" w:eastAsia="Calibri" w:hAnsi="Times New Roman" w:cs="Times New Roman"/>
          <w:sz w:val="24"/>
          <w:szCs w:val="24"/>
        </w:rPr>
        <w:t xml:space="preserve"> </w:t>
      </w:r>
      <w:r w:rsidRPr="00250C7F">
        <w:rPr>
          <w:rFonts w:ascii="Times New Roman" w:eastAsia="Times New Roman" w:hAnsi="Times New Roman" w:cs="Times New Roman"/>
          <w:sz w:val="24"/>
          <w:szCs w:val="24"/>
        </w:rPr>
        <w:t>în mod corect prima instanţă a apreciat că în speţă contestaţia depusă la data de 14.01.2016 și completată la data de 12.02.2016 este formulată în termenul legal prevăzut de art. 207 din OG 92/2003.</w:t>
      </w:r>
    </w:p>
    <w:p w14:paraId="0CD5AFF4" w14:textId="1D143EE8" w:rsidR="00910471" w:rsidRPr="00250C7F" w:rsidRDefault="00910471" w:rsidP="00910471">
      <w:pPr>
        <w:spacing w:after="0" w:line="276" w:lineRule="auto"/>
        <w:ind w:firstLine="708"/>
        <w:jc w:val="both"/>
        <w:rPr>
          <w:rFonts w:ascii="Times New Roman" w:eastAsia="Times New Roman" w:hAnsi="Times New Roman" w:cs="Times New Roman"/>
          <w:b/>
          <w:sz w:val="24"/>
          <w:szCs w:val="24"/>
          <w:lang w:eastAsia="ar-SA"/>
        </w:rPr>
      </w:pPr>
      <w:bookmarkStart w:id="27" w:name="_Hlk13213646"/>
      <w:r w:rsidRPr="00250C7F">
        <w:rPr>
          <w:rFonts w:ascii="Times New Roman" w:eastAsia="Times New Roman" w:hAnsi="Times New Roman" w:cs="Times New Roman"/>
          <w:b/>
          <w:i/>
          <w:sz w:val="24"/>
          <w:szCs w:val="24"/>
        </w:rPr>
        <w:t>5. Considerentele Înaltei Curţi asupra recursului</w:t>
      </w:r>
      <w:r w:rsidRPr="00250C7F">
        <w:rPr>
          <w:rFonts w:ascii="Times New Roman" w:eastAsia="Times New Roman" w:hAnsi="Times New Roman" w:cs="Times New Roman"/>
          <w:b/>
          <w:sz w:val="24"/>
          <w:szCs w:val="24"/>
          <w:lang w:eastAsia="ar-SA"/>
        </w:rPr>
        <w:t xml:space="preserve"> </w:t>
      </w:r>
      <w:r w:rsidRPr="00250C7F">
        <w:rPr>
          <w:rFonts w:ascii="Times New Roman" w:eastAsia="Times New Roman" w:hAnsi="Times New Roman" w:cs="Times New Roman"/>
          <w:b/>
          <w:sz w:val="24"/>
          <w:szCs w:val="24"/>
          <w:lang w:eastAsia="ar-SA"/>
        </w:rPr>
        <w:tab/>
      </w:r>
      <w:r w:rsidRPr="00250C7F">
        <w:rPr>
          <w:rFonts w:ascii="Times New Roman" w:eastAsia="Times New Roman" w:hAnsi="Times New Roman" w:cs="Times New Roman"/>
          <w:b/>
          <w:sz w:val="24"/>
          <w:szCs w:val="24"/>
          <w:lang w:eastAsia="ar-SA"/>
        </w:rPr>
        <w:tab/>
      </w:r>
      <w:r w:rsidRPr="00250C7F">
        <w:rPr>
          <w:rFonts w:ascii="Times New Roman" w:eastAsia="Times New Roman" w:hAnsi="Times New Roman" w:cs="Times New Roman"/>
          <w:b/>
          <w:sz w:val="24"/>
          <w:szCs w:val="24"/>
          <w:lang w:eastAsia="ar-SA"/>
        </w:rPr>
        <w:tab/>
      </w:r>
      <w:r w:rsidRPr="00250C7F">
        <w:rPr>
          <w:rFonts w:ascii="Times New Roman" w:eastAsia="Times New Roman" w:hAnsi="Times New Roman" w:cs="Times New Roman"/>
          <w:b/>
          <w:sz w:val="24"/>
          <w:szCs w:val="24"/>
          <w:lang w:eastAsia="ar-SA"/>
        </w:rPr>
        <w:tab/>
      </w:r>
    </w:p>
    <w:p w14:paraId="7CCBD324" w14:textId="77777777" w:rsidR="00910471" w:rsidRPr="00250C7F" w:rsidRDefault="00910471" w:rsidP="00910471">
      <w:pPr>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Analizând sentinţa recurată prin prisma motivelor de casare invocate, a actelor dosarului şi a dispoziţiilor legale incidente, Înalta Curte constată următoarele:</w:t>
      </w:r>
      <w:r w:rsidRPr="00250C7F">
        <w:rPr>
          <w:rFonts w:ascii="Times New Roman" w:eastAsia="Times New Roman" w:hAnsi="Times New Roman" w:cs="Times New Roman"/>
          <w:sz w:val="24"/>
          <w:szCs w:val="24"/>
        </w:rPr>
        <w:tab/>
      </w:r>
    </w:p>
    <w:bookmarkEnd w:id="27"/>
    <w:p w14:paraId="3270126D" w14:textId="2CBE1BA8" w:rsidR="00910471" w:rsidRPr="00250C7F" w:rsidRDefault="00910471" w:rsidP="00910471">
      <w:pPr>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Intimata–reclamantă a  învestit instanţa  de contencios  administrativ şi fiscal, pe calea prevăzută de art. 218 din OG nr. 92/2003 privind Codul de procedură fiscală, cu o acţiune îndreptată împotriva Deciziei nr. 252/27.04.2016 emisă de Direcţia Generală Regională a Finanţelor Publice Cluj-Napoca - Serviciul de Soluţionare a Contestaţiilor 1, privind  respingerea ca tardivă a contestaţiei formulate împotriva Deciziei de impunere nr. 91389/1 din 07.10.2015 întocmită de AJ.F.P. Cluj - Serviciul inspecţie fiscală Persoane Fizice 1, solicitând obligarea organului fiscal să soluţioneze pe fond contestaţia.</w:t>
      </w:r>
      <w:r w:rsidRPr="00250C7F">
        <w:rPr>
          <w:rFonts w:ascii="Times New Roman" w:eastAsia="Times New Roman" w:hAnsi="Times New Roman" w:cs="Times New Roman"/>
          <w:sz w:val="24"/>
          <w:szCs w:val="24"/>
        </w:rPr>
        <w:tab/>
      </w:r>
    </w:p>
    <w:p w14:paraId="107FAD4D" w14:textId="1437B98D" w:rsidR="00910471" w:rsidRPr="00250C7F" w:rsidRDefault="00910471" w:rsidP="00910471">
      <w:pPr>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Prima instanţă, pentru considerentele prezentate pe scurt la punctul 2 din prezenta decizie, a </w:t>
      </w:r>
      <w:r w:rsidRPr="00250C7F">
        <w:rPr>
          <w:rFonts w:ascii="Times New Roman" w:eastAsia="Calibri" w:hAnsi="Times New Roman" w:cs="Times New Roman"/>
          <w:sz w:val="24"/>
          <w:szCs w:val="24"/>
        </w:rPr>
        <w:t>admis cererea de chemare în judecată formulată de reclamanta A împotriva pârâtei Agenţia Naţională de Administrare Fiscala - Direcţia Generala Regională a Finanţelor Publice Cluj-Napoca - Administraţia Judeţeană a Finanţelor Publice Cluj, a anulat Decizia nr.252/27.04.2016 emisă de Agenţia Naţională de Administrare Fiscala - Direcţia Generala Regională a Finanţelor Publice Cluj-Napoca – Serviciul de Soluţionare a Contestaţiilor, privind soluţionarea contestaţiei formulată de reclamantă împotriva Deciziei de impunere nr. 91389/1/7.10.2015 emisă de AJFP Cluj – Serviciul de Inspecţie fiscală Persoane Fizice 1, având la bază RIF nr. 91.389/7.10.2015, şi a obligat organul de soluţionare să procedeze la soluţionarea pe fond a contestaţiei formulate.</w:t>
      </w:r>
    </w:p>
    <w:p w14:paraId="0D282450" w14:textId="77777777" w:rsidR="00910471" w:rsidRPr="00250C7F" w:rsidRDefault="00910471" w:rsidP="00910471">
      <w:pPr>
        <w:spacing w:after="0" w:line="276" w:lineRule="auto"/>
        <w:ind w:firstLine="720"/>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Împotriva acestei sentințe a formulat recurs </w:t>
      </w:r>
      <w:r w:rsidRPr="00250C7F">
        <w:rPr>
          <w:rFonts w:ascii="Times New Roman" w:eastAsia="Calibri" w:hAnsi="Times New Roman" w:cs="Times New Roman"/>
          <w:sz w:val="24"/>
          <w:szCs w:val="24"/>
        </w:rPr>
        <w:t>pârâta Direcţia Generală Regională a Finanţelor Publice Cluj-Napoca – Administraţia Judeţeană a Finanţelor Publice Cluj</w:t>
      </w:r>
      <w:r w:rsidRPr="00250C7F">
        <w:rPr>
          <w:rFonts w:ascii="Times New Roman" w:eastAsia="Times New Roman" w:hAnsi="Times New Roman" w:cs="Times New Roman"/>
          <w:sz w:val="24"/>
          <w:szCs w:val="24"/>
        </w:rPr>
        <w:t xml:space="preserve"> invocând  în drept  dispoziţiile  art. 488 alin. (1) pct. 8 din Codul de procedură civilă. </w:t>
      </w:r>
    </w:p>
    <w:p w14:paraId="5805D386" w14:textId="77777777" w:rsidR="00910471" w:rsidRPr="00250C7F" w:rsidRDefault="00910471" w:rsidP="00910471">
      <w:pPr>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Potrivit acestui motiv de recurs, casarea unor hotărâri se poate cere când hotărârea a fost dată cu încălcarea sau aplicarea greşită a normelor de drept material. Prin intermediul acestui motiv de recurs poate fi invocată numai încălcarea sau aplicarea greşită a legii materiale, nu şi a legii procesuale. Hotărârea a fost dată cu încălcarea sau aplicarea greşită a legii atunci când instanţa a recurs la textele de lege aplicabile speţei dar, fie le-a încălcat, în litera sau spiritul lor, adăugând sau omiţând unele condiţii pe care textele nu le prevăd, fie le-a aplicat greşit.</w:t>
      </w:r>
    </w:p>
    <w:p w14:paraId="729099F0"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cauza de faţă aceste motive nu sunt incidente, soluţia primei instanţe este expresia interpretării şi aplicării corecte a prevederilor legale în raport cu starea de fapt rezultată din probele administrate în procedura administrativă şi în cea judiciară.</w:t>
      </w:r>
    </w:p>
    <w:p w14:paraId="306E795C" w14:textId="77777777" w:rsidR="00910471" w:rsidRPr="00250C7F" w:rsidRDefault="00910471" w:rsidP="00910471">
      <w:pPr>
        <w:spacing w:after="0" w:line="276" w:lineRule="auto"/>
        <w:ind w:firstLine="708"/>
        <w:jc w:val="both"/>
        <w:rPr>
          <w:rFonts w:ascii="Times New Roman" w:eastAsia="Times New Roman" w:hAnsi="Times New Roman" w:cs="Times New Roman"/>
          <w:sz w:val="24"/>
          <w:szCs w:val="24"/>
        </w:rPr>
      </w:pPr>
      <w:r w:rsidRPr="00250C7F">
        <w:rPr>
          <w:rFonts w:ascii="Times New Roman" w:eastAsia="Calibri" w:hAnsi="Times New Roman" w:cs="Times New Roman"/>
          <w:sz w:val="24"/>
          <w:szCs w:val="24"/>
        </w:rPr>
        <w:lastRenderedPageBreak/>
        <w:t xml:space="preserve">Astfel, prin </w:t>
      </w:r>
      <w:r w:rsidRPr="00250C7F">
        <w:rPr>
          <w:rFonts w:ascii="Times New Roman" w:eastAsia="Times New Roman" w:hAnsi="Times New Roman" w:cs="Times New Roman"/>
          <w:sz w:val="24"/>
          <w:szCs w:val="24"/>
        </w:rPr>
        <w:t>Deciziei nr. 252/27.04.2016 emisă de Direcţia Generală Regională a Finanţelor Publice Cluj-Napoca - Serviciul de Soluţionare a Contestaţiilor 1, a fost respinsă ca tardivă contestaţia formulată, la data de 14.01.2016, împotriva Deciziei de impunere nr. 91389/1 din 07.10.2015 întocmită de AJ.F.P. Cluj - Serviciul inspecţie fiscală Persoane Fizice 1, reținându-se că a fost depășit termenul de 30 de zile de la data comunicării - 13.11.2015.</w:t>
      </w:r>
    </w:p>
    <w:p w14:paraId="19328AED"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Potrivit art. 44 - </w:t>
      </w:r>
      <w:r w:rsidRPr="00250C7F">
        <w:rPr>
          <w:rFonts w:ascii="Times New Roman" w:eastAsia="Calibri" w:hAnsi="Times New Roman" w:cs="Times New Roman"/>
          <w:i/>
          <w:sz w:val="24"/>
          <w:szCs w:val="24"/>
        </w:rPr>
        <w:t xml:space="preserve">Comunicarea actului administrativ fiscal </w:t>
      </w:r>
      <w:r w:rsidRPr="00250C7F">
        <w:rPr>
          <w:rFonts w:ascii="Times New Roman" w:eastAsia="Calibri" w:hAnsi="Times New Roman" w:cs="Times New Roman"/>
          <w:sz w:val="24"/>
          <w:szCs w:val="24"/>
        </w:rPr>
        <w:t>din OG 92/2003 privind Codul de Procedură Fiscală din 2003, forma în vigoare la data emiterii deciziei de impunere a cărei dată de comunicare se contestă:</w:t>
      </w:r>
    </w:p>
    <w:p w14:paraId="43086B08"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”(1) </w:t>
      </w:r>
      <w:r w:rsidRPr="00250C7F">
        <w:rPr>
          <w:rFonts w:ascii="Times New Roman" w:eastAsia="Calibri" w:hAnsi="Times New Roman" w:cs="Times New Roman"/>
          <w:i/>
          <w:sz w:val="24"/>
          <w:szCs w:val="24"/>
        </w:rPr>
        <w:t>Actul administrativ fiscal trebuie comunicat contribuabilului căruia îi este destinat.</w:t>
      </w:r>
      <w:r w:rsidRPr="00250C7F">
        <w:rPr>
          <w:rFonts w:ascii="Times New Roman" w:eastAsia="Calibri" w:hAnsi="Times New Roman" w:cs="Times New Roman"/>
          <w:sz w:val="24"/>
          <w:szCs w:val="24"/>
        </w:rPr>
        <w:t xml:space="preserve"> În situația contribuabililor fără domiciliu fiscal în România, care și-au desemnat împuternicit potrivit art. 18 alin. (4), precum și în situația numirii unui curator fiscal, în condițiile art. 19, actul administrativ fiscal se comunică împuternicitului sau curatorului, după caz.</w:t>
      </w:r>
    </w:p>
    <w:p w14:paraId="34FEEFF1"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(2) </w:t>
      </w:r>
      <w:r w:rsidRPr="00250C7F">
        <w:rPr>
          <w:rFonts w:ascii="Times New Roman" w:eastAsia="Calibri" w:hAnsi="Times New Roman" w:cs="Times New Roman"/>
          <w:i/>
          <w:sz w:val="24"/>
          <w:szCs w:val="24"/>
        </w:rPr>
        <w:t>Actul administrativ fiscal emis pe suport hârtie se comunică prin remiterea acestuia contribuabilului/ împuternicitului, dacă se asigură primirea sub semnătură a actului administrativ fiscal, sau prin poștă, cu scrisoare recomandată cu confirmare de primire.</w:t>
      </w:r>
    </w:p>
    <w:p w14:paraId="3347C8D1"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(3) Actul administrativ fiscal emis în formă electronică se comunică prin mijloace electronice de transmitere la distanță ori de câte ori contribuabilul a optat pentru această modalitate de emitere și de comunicare.</w:t>
      </w:r>
    </w:p>
    <w:p w14:paraId="63EFD2B7"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(4) </w:t>
      </w:r>
      <w:r w:rsidRPr="00250C7F">
        <w:rPr>
          <w:rFonts w:ascii="Times New Roman" w:eastAsia="Calibri" w:hAnsi="Times New Roman" w:cs="Times New Roman"/>
          <w:i/>
          <w:sz w:val="24"/>
          <w:szCs w:val="24"/>
        </w:rPr>
        <w:t>În cazul în care comunicarea potrivit alin. (2) sau (3), după caz, nu a fost posibilă, aceasta se realizează prin publicitate.</w:t>
      </w:r>
    </w:p>
    <w:p w14:paraId="027399B1" w14:textId="62D8A146"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(5) </w:t>
      </w:r>
      <w:r w:rsidRPr="00250C7F">
        <w:rPr>
          <w:rFonts w:ascii="Times New Roman" w:eastAsia="Calibri" w:hAnsi="Times New Roman" w:cs="Times New Roman"/>
          <w:i/>
          <w:sz w:val="24"/>
          <w:szCs w:val="24"/>
        </w:rPr>
        <w:t>Comunicarea prin publicitate se face prin afișarea, concomitent, la sediul organului fiscal emitent și pe pagina de internet a Agenției Naționale de Administrare Fiscală, a unui anunț în care se menționează că a fost emis actul administrativ fiscal pe numele contribuabilului. În cazul actelor administrative emise de organele fiscale prevăzute la art. 35, afișarea se face, concomitent, la sediul acestora și pe pagina de internet a autorității administrației publice locale respective.</w:t>
      </w:r>
      <w:r w:rsidRPr="00250C7F">
        <w:rPr>
          <w:rFonts w:ascii="Times New Roman" w:eastAsia="Calibri" w:hAnsi="Times New Roman" w:cs="Times New Roman"/>
          <w:sz w:val="24"/>
          <w:szCs w:val="24"/>
        </w:rPr>
        <w:t xml:space="preserve"> În lipsa paginii de internet proprii a autorității publice locale, publicitatea se face pe pagina de internet a consiliului județean sau a Agenției Naționale de Administrare Fiscală. </w:t>
      </w:r>
      <w:r w:rsidRPr="00250C7F">
        <w:rPr>
          <w:rFonts w:ascii="Times New Roman" w:eastAsia="Calibri" w:hAnsi="Times New Roman" w:cs="Times New Roman"/>
          <w:i/>
          <w:sz w:val="24"/>
          <w:szCs w:val="24"/>
        </w:rPr>
        <w:t>În toate cazurile, actul administrativ fiscal se consideră comunicat în termen de 15 zile de la data afișării anunțului.</w:t>
      </w:r>
    </w:p>
    <w:p w14:paraId="27DBBB4C"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(6) În cazul actelor administrative fiscale emise de către organele fiscale din cadrul Agenției Naționale de Administrare Fiscală, mijloacele electronice de transmitere la distanță, procedura de comunicare a actelor administrative fiscale prin mijloace electronice de transmitere la distanță, precum și condițiile în care aceasta se realizează se aprobă prin ordin al ministrului finanțelor publice.</w:t>
      </w:r>
    </w:p>
    <w:p w14:paraId="33AD1B98"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(7) În cazul actelor administrative fiscale emise de organele fiscale ale autorităților administrației publice locale, mijloacele electronice de transmitere la distanță, procedura de comunicare a actelor administrative fiscale prin mijloace electronice de transmitere la distanță, precum și condițiile în care aceasta se realizează se aprobă prin ordin comun al ministrului dezvoltării regionale și administrației publice și al ministrului finanțelor publice. Pentru organul fiscal al unei autorități a administrației publice locale, consiliul local stabilește, prin hotărâre, în funcție de capacitatea tehnică disponibilă, mijloacele electronice de transmitere la distanță ce urmează a fi utilizate de către respectivul organ fiscal.”</w:t>
      </w:r>
    </w:p>
    <w:p w14:paraId="13085D8E"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Înalta Curte reține că Ordonanța Guvernului nr. 92/2003 privind Codul de procedură fiscală reprezintă o lege specială, care instituie unele reguli derogatorii de la cele stabilite de </w:t>
      </w:r>
      <w:r w:rsidRPr="00250C7F">
        <w:rPr>
          <w:rFonts w:ascii="Times New Roman" w:eastAsia="Calibri" w:hAnsi="Times New Roman" w:cs="Times New Roman"/>
          <w:sz w:val="24"/>
          <w:szCs w:val="24"/>
        </w:rPr>
        <w:lastRenderedPageBreak/>
        <w:t>dreptul comun, reprezentat de Codul de procedură civilă. Interesul organelor fiscale de aducere la cunoștința contribuabilului a existenței unei obligații fiscale al cărei creditor este însuși statul implică necesitatea comunicării actului administrativ în care aceasta este consemnată prin modalități care să asigure aducerea efectivă la cunoștința contribuabilului despre existența unor obligații fiscale în sarcina sa.</w:t>
      </w:r>
    </w:p>
    <w:p w14:paraId="42F9C111"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Așa fiind, legiuitorul a prevăzut că actele administrative fiscale pot fi comunicate prin publicitate și în cazul în care domiciliul contribuabilului este cunoscut. În acest caz, însă, trebuie ca, anterior recurgerii la această modalitate, să fi fost respectată cu strictețe ordinea prevăzută în art. 44 alin. (2) lit. a)-c) din Ordonanța Guvernului nr. 92/2003, astfel încât comunicarea prin publicitate să reprezinte doar o modalitate ultimă și subsidiară, după cum a remarcat și Curtea Constituțională în jurisprudența sa.</w:t>
      </w:r>
    </w:p>
    <w:p w14:paraId="027070A9" w14:textId="17FED365"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Așadar, în cazul actelor administrative fiscale, comunicarea acestora se îndeplinește prin publicitate și în ipoteza în care se cunoaște domiciliul fiscal al contribuabilului, dar comunicarea nu s-a putut realiza prin celelalte modalități prevăzute de textul amintit. Se impune a examina, însă, dacă această comunicare prin publicitate a fost îndeplinită doar ca urmare a imposibilității realizării procedurii de comunicare prin celelalte modalități, în ordinea în care acestea sunt enumerate la art. 44 alin. (2) lit. a)-c). </w:t>
      </w:r>
    </w:p>
    <w:p w14:paraId="2E9EC1D0" w14:textId="7CD160A6"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Din actele dosarului rezultă că recurenta a depus la poștă scrisoarea, cu confirmare de primire, ce conținea decizia de impunere, spre a fi comunicată intimatei, în data de 13.10.2015 și a sosit la oficiul poștal de la domiciliul intimatei la data de 14.10.2015, fiind restituite către expeditor la data de 27.10.2015 pentru că destinatarul nu s-a prezentat la oficiul poștal să ridice scrisoarea.</w:t>
      </w:r>
    </w:p>
    <w:p w14:paraId="1B7E07CF"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mod corect a reținut prima instanță că potrivit Regulamentului Companiei Poșta Româna SA, afișat pe site-ul companiei, termenul de păstrare, în cazul trimiterilor interne cu confirmare de primire, este de 10 zile lucrătoare, acest termen împlinindu-se la data de 28.10.2015.  </w:t>
      </w:r>
    </w:p>
    <w:p w14:paraId="4CFE4001"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Chiar dacă recurenta invocă existența unui contract încheiat cu Poşta Română prin care sunt reglementate termenele şi procedurilor de comunicare a actelor între aceste părți contractante și potrivit căruia termenul de păstrare era de 10 zile calendaristice, totuși acest act nu îi este opozabil intimatei din prezenta cauză. </w:t>
      </w:r>
    </w:p>
    <w:p w14:paraId="50EA3BDB"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Este nefondată și critica recurentei cum că nu s-ar fi pus în discuţia părţilor termenul de păstrare a corespondenţei cu referire la Regulamentul Poştei Române făcut public pe site-ul oficial al acestei instituţii, întrucât toate aceste documente se regăseau la dosarul cauzei, iar recurenta a avut posibilitatea în cadrul şedinţelor publice să îşi spună punctul de vedere.</w:t>
      </w:r>
    </w:p>
    <w:p w14:paraId="45072410" w14:textId="77777777" w:rsidR="00910471" w:rsidRPr="00250C7F" w:rsidRDefault="00910471" w:rsidP="00910471">
      <w:pPr>
        <w:spacing w:after="0" w:line="276" w:lineRule="auto"/>
        <w:ind w:firstLine="708"/>
        <w:jc w:val="both"/>
        <w:rPr>
          <w:rFonts w:ascii="Times New Roman" w:eastAsia="Calibri" w:hAnsi="Times New Roman" w:cs="Times New Roman"/>
          <w:bCs/>
          <w:sz w:val="24"/>
          <w:szCs w:val="24"/>
        </w:rPr>
      </w:pPr>
      <w:r w:rsidRPr="00250C7F">
        <w:rPr>
          <w:rFonts w:ascii="Times New Roman" w:eastAsia="Calibri" w:hAnsi="Times New Roman" w:cs="Times New Roman"/>
          <w:bCs/>
          <w:sz w:val="24"/>
          <w:szCs w:val="24"/>
        </w:rPr>
        <w:t>Pe de altă parte, nici comunicarea prin publicitate nu a respectat rigorile impuse de textul de lege menționat mai sus, din actele comunicate de către recurentă şi lămuririle suplimentare date la adresele efectuate de către prima instanţă a rezultat că la sediul organului fiscal afişarea s-a realizat în data de 28.10.2015, iar pe pagina de internet în data de 29.10.2015, deci nu concomitent și nici nu s-a făcut dovada păstrării pe o perioadă de 15 zile.</w:t>
      </w:r>
    </w:p>
    <w:p w14:paraId="3DFF5C0B" w14:textId="77777777" w:rsidR="00910471" w:rsidRPr="00250C7F" w:rsidRDefault="00910471" w:rsidP="0091047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Față de cele arătate mai sus, în mod corect prima instanță a reținut că procedura de comunicare a fost afectată de mai multe vicii: nepăstrarea recomandatei pe termenul legal și începerea procedurii de comunicare prin publicitate anterior datei la care legal era posibilă, neafișarea concomitentă a anunțului, nepăstrarea sa timp de 15 zile pentru a asigura în mod real posibilitatea ca persoana interesată sau altcineva să afle de existența actelor în discuţie, </w:t>
      </w:r>
      <w:r w:rsidRPr="00250C7F">
        <w:rPr>
          <w:rFonts w:ascii="Times New Roman" w:eastAsia="Calibri" w:hAnsi="Times New Roman" w:cs="Times New Roman"/>
          <w:sz w:val="24"/>
          <w:szCs w:val="24"/>
        </w:rPr>
        <w:lastRenderedPageBreak/>
        <w:t>incertitudine cu privire la conținutul actului afișat nefiind cert că s-a afișat anunțul prevăzut de lege.</w:t>
      </w:r>
    </w:p>
    <w:p w14:paraId="087AF0DC" w14:textId="0775CCCD" w:rsidR="00910471" w:rsidRPr="00250C7F" w:rsidRDefault="00910471" w:rsidP="00910471">
      <w:pPr>
        <w:spacing w:after="0" w:line="276" w:lineRule="auto"/>
        <w:ind w:firstLine="708"/>
        <w:jc w:val="both"/>
        <w:rPr>
          <w:rFonts w:ascii="Times New Roman" w:eastAsia="MS Mincho" w:hAnsi="Times New Roman" w:cs="Times New Roman"/>
          <w:sz w:val="24"/>
          <w:szCs w:val="24"/>
        </w:rPr>
      </w:pPr>
      <w:r w:rsidRPr="00250C7F">
        <w:rPr>
          <w:rFonts w:ascii="Times New Roman" w:eastAsia="MS Mincho" w:hAnsi="Times New Roman" w:cs="Times New Roman"/>
          <w:sz w:val="24"/>
          <w:szCs w:val="24"/>
        </w:rPr>
        <w:t>Aşa fiind, Înalta Curte constată că soluţia adoptată a fost corect şi amplu motivată, s-a fundamentat pe interpretarea probelor administrate raportat la prevederile  legale  aplicabile, astfel încât motivele de casare prevăzute de art.488 din Codul de procedură civilă nu sunt incidente în cauză.</w:t>
      </w:r>
    </w:p>
    <w:p w14:paraId="6F76D9BF" w14:textId="486DFB47" w:rsidR="00910471" w:rsidRPr="00250C7F" w:rsidRDefault="00910471" w:rsidP="00910471">
      <w:pPr>
        <w:spacing w:after="0" w:line="276" w:lineRule="auto"/>
        <w:ind w:firstLine="708"/>
        <w:jc w:val="both"/>
        <w:rPr>
          <w:rFonts w:ascii="Times New Roman" w:eastAsia="Times New Roman" w:hAnsi="Times New Roman" w:cs="Times New Roman"/>
          <w:b/>
          <w:i/>
          <w:sz w:val="24"/>
          <w:szCs w:val="24"/>
        </w:rPr>
      </w:pPr>
      <w:bookmarkStart w:id="28" w:name="_Hlk13219208"/>
      <w:r w:rsidRPr="00250C7F">
        <w:rPr>
          <w:rFonts w:ascii="Times New Roman" w:eastAsia="Times New Roman" w:hAnsi="Times New Roman" w:cs="Times New Roman"/>
          <w:b/>
          <w:i/>
          <w:sz w:val="24"/>
          <w:szCs w:val="24"/>
        </w:rPr>
        <w:t>6. Soluţia instanţei de recurs şi temeiul juridic al acesteia</w:t>
      </w:r>
    </w:p>
    <w:p w14:paraId="3D8C6C92" w14:textId="77777777" w:rsidR="00910471" w:rsidRPr="00250C7F" w:rsidRDefault="00910471" w:rsidP="00910471">
      <w:pPr>
        <w:spacing w:after="60" w:line="276" w:lineRule="auto"/>
        <w:ind w:firstLine="708"/>
        <w:jc w:val="both"/>
        <w:rPr>
          <w:rFonts w:ascii="Times New Roman" w:eastAsia="Calibri" w:hAnsi="Times New Roman" w:cs="Times New Roman"/>
          <w:sz w:val="24"/>
          <w:szCs w:val="24"/>
        </w:rPr>
      </w:pPr>
      <w:r w:rsidRPr="00250C7F">
        <w:rPr>
          <w:rFonts w:ascii="Times New Roman" w:eastAsia="Times New Roman" w:hAnsi="Times New Roman" w:cs="Times New Roman"/>
          <w:sz w:val="24"/>
          <w:szCs w:val="24"/>
        </w:rPr>
        <w:t xml:space="preserve">Pentru aceste considerente şi în temeiul art. 20 din Legea contenciosului administrativ nr. 544/2004 şi art. 496 din Codul de procedură civilă, Înalta Curte a </w:t>
      </w:r>
      <w:r w:rsidRPr="00250C7F">
        <w:rPr>
          <w:rFonts w:ascii="Times New Roman" w:eastAsia="Calibri" w:hAnsi="Times New Roman" w:cs="Times New Roman"/>
          <w:sz w:val="24"/>
          <w:szCs w:val="24"/>
        </w:rPr>
        <w:t xml:space="preserve">respins recursul formulat de recurenta-pârâtă Direcţia Generală Regională a Finanţelor Publice Cluj-Napoca – Administraţia Judeţeană a Finanţelor Publice Cluj împotriva Sentinţei civile nr. </w:t>
      </w:r>
      <w:r w:rsidRPr="00250C7F">
        <w:rPr>
          <w:rFonts w:ascii="Times New Roman" w:eastAsia="Calibri" w:hAnsi="Times New Roman" w:cs="Times New Roman"/>
          <w:bCs/>
          <w:iCs/>
          <w:sz w:val="24"/>
          <w:szCs w:val="24"/>
        </w:rPr>
        <w:t xml:space="preserve">105/2017 </w:t>
      </w:r>
      <w:r w:rsidRPr="00250C7F">
        <w:rPr>
          <w:rFonts w:ascii="Times New Roman" w:eastAsia="Calibri" w:hAnsi="Times New Roman" w:cs="Times New Roman"/>
          <w:iCs/>
          <w:sz w:val="24"/>
          <w:szCs w:val="24"/>
        </w:rPr>
        <w:t>din</w:t>
      </w:r>
      <w:r w:rsidRPr="00250C7F">
        <w:rPr>
          <w:rFonts w:ascii="Times New Roman" w:eastAsia="Calibri" w:hAnsi="Times New Roman" w:cs="Times New Roman"/>
          <w:sz w:val="24"/>
          <w:szCs w:val="24"/>
        </w:rPr>
        <w:t xml:space="preserve"> 10 martie 2017 a Curţii de Apel Cluj – Secţia a III-a de Contencios Administrativ şi Fiscal, ca nefondat.</w:t>
      </w:r>
      <w:bookmarkEnd w:id="28"/>
    </w:p>
    <w:p w14:paraId="46C3FDDF" w14:textId="77777777" w:rsidR="00A74B16" w:rsidRPr="00250C7F" w:rsidRDefault="00A74B16" w:rsidP="00A74B16">
      <w:pPr>
        <w:spacing w:after="0" w:line="276" w:lineRule="auto"/>
        <w:ind w:firstLine="708"/>
        <w:jc w:val="both"/>
        <w:rPr>
          <w:rFonts w:ascii="Times New Roman" w:hAnsi="Times New Roman" w:cs="Times New Roman"/>
          <w:sz w:val="24"/>
          <w:szCs w:val="24"/>
          <w:shd w:val="clear" w:color="auto" w:fill="FFFFFF"/>
        </w:rPr>
      </w:pPr>
    </w:p>
    <w:p w14:paraId="6753AD61" w14:textId="555F5866" w:rsidR="00A74B16" w:rsidRPr="00250C7F" w:rsidRDefault="00A74B16" w:rsidP="00A74B16">
      <w:pPr>
        <w:spacing w:after="0" w:line="276" w:lineRule="auto"/>
        <w:ind w:firstLine="708"/>
        <w:jc w:val="both"/>
        <w:rPr>
          <w:rFonts w:ascii="Times New Roman" w:hAnsi="Times New Roman" w:cs="Times New Roman"/>
          <w:i/>
          <w:iCs/>
          <w:sz w:val="24"/>
          <w:szCs w:val="24"/>
          <w:shd w:val="clear" w:color="auto" w:fill="FFFFFF"/>
        </w:rPr>
      </w:pPr>
      <w:r w:rsidRPr="00250C7F">
        <w:rPr>
          <w:rFonts w:ascii="Times New Roman" w:hAnsi="Times New Roman" w:cs="Times New Roman"/>
          <w:b/>
          <w:bCs/>
          <w:sz w:val="24"/>
          <w:szCs w:val="24"/>
          <w:shd w:val="clear" w:color="auto" w:fill="FFFFFF"/>
        </w:rPr>
        <w:t>Notă:</w:t>
      </w:r>
      <w:r w:rsidRPr="00250C7F">
        <w:rPr>
          <w:rFonts w:ascii="Times New Roman" w:hAnsi="Times New Roman" w:cs="Times New Roman"/>
          <w:sz w:val="24"/>
          <w:szCs w:val="24"/>
          <w:shd w:val="clear" w:color="auto" w:fill="FFFFFF"/>
        </w:rPr>
        <w:t xml:space="preserve"> Cu privire la constituționalitatea dispozițiilor privind comunicarea prin publicitate a actului administrativ fiscal, Curtea Constituțională s-a pronunțat prin Decizia nr. 667 din 30 aprilie 2009, publicată în M. Of. nr. 437 din 26 iunie 2009, constatând că, în sine, textul art. 44 alin. (3) din vechiul Cod de procedură fiscală </w:t>
      </w:r>
      <w:r w:rsidRPr="00250C7F">
        <w:rPr>
          <w:rFonts w:ascii="Times New Roman" w:hAnsi="Times New Roman" w:cs="Times New Roman"/>
          <w:i/>
          <w:iCs/>
          <w:sz w:val="24"/>
          <w:szCs w:val="24"/>
          <w:shd w:val="clear" w:color="auto" w:fill="FFFFFF"/>
        </w:rPr>
        <w:t>„nu contravine niciunei dispoziții constituționale invocate, reglementând doar o modalitate ultimă și subsidiară de comunicare a actelor administrative fiscale, folosită doar în cazul în care celelalte modalități de comunicare nu au putut fi îndeplinite din motive obiective”,</w:t>
      </w:r>
      <w:r w:rsidRPr="00250C7F">
        <w:rPr>
          <w:rFonts w:ascii="Times New Roman" w:hAnsi="Times New Roman" w:cs="Times New Roman"/>
          <w:sz w:val="24"/>
          <w:szCs w:val="24"/>
          <w:shd w:val="clear" w:color="auto" w:fill="FFFFFF"/>
        </w:rPr>
        <w:t xml:space="preserve"> constatarea folosirii abuzive a acestui mod de comunicare a actelor administrative fiind, însă, „</w:t>
      </w:r>
      <w:r w:rsidRPr="00250C7F">
        <w:rPr>
          <w:rFonts w:ascii="Times New Roman" w:hAnsi="Times New Roman" w:cs="Times New Roman"/>
          <w:i/>
          <w:iCs/>
          <w:sz w:val="24"/>
          <w:szCs w:val="24"/>
          <w:shd w:val="clear" w:color="auto" w:fill="FFFFFF"/>
        </w:rPr>
        <w:t>apanajul exclusiv al instanțelor judecătorești”.</w:t>
      </w:r>
      <w:r w:rsidRPr="00250C7F">
        <w:rPr>
          <w:rFonts w:ascii="Times New Roman" w:hAnsi="Times New Roman" w:cs="Times New Roman"/>
          <w:sz w:val="24"/>
          <w:szCs w:val="24"/>
          <w:shd w:val="clear" w:color="auto" w:fill="FFFFFF"/>
        </w:rPr>
        <w:t xml:space="preserve"> Ulterior, prin Decizia nr. 536 din 28 aprilie 2011, publicată în M. Of. nr. 482 din 7 iulie 2011, Curtea Constituțională  reținând că „</w:t>
      </w:r>
      <w:r w:rsidRPr="00250C7F">
        <w:rPr>
          <w:rFonts w:ascii="Times New Roman" w:hAnsi="Times New Roman" w:cs="Times New Roman"/>
          <w:i/>
          <w:iCs/>
          <w:sz w:val="24"/>
          <w:szCs w:val="24"/>
          <w:shd w:val="clear" w:color="auto" w:fill="FFFFFF"/>
        </w:rPr>
        <w:t xml:space="preserve">interesul organelor fiscale de aducere la cunoștința contribuabilului a existenței unei obligații fiscale al cărei creditor este însuși statul implică necesitatea comunicării actului administrativ în care aceasta este consemnată prin modalități care să asigure aducerea efectivă la cunoștința contribuabilului despre existența unei obligații fiscale în sarcina sa” </w:t>
      </w:r>
      <w:r w:rsidRPr="00250C7F">
        <w:rPr>
          <w:rFonts w:ascii="Times New Roman" w:hAnsi="Times New Roman" w:cs="Times New Roman"/>
          <w:sz w:val="24"/>
          <w:szCs w:val="24"/>
          <w:shd w:val="clear" w:color="auto" w:fill="FFFFFF"/>
        </w:rPr>
        <w:t xml:space="preserve">a statuat că prevederile art. 44 alin. (3) din Ordonanța Guvernului nr. 92/2003 privind Codul de procedură fiscală </w:t>
      </w:r>
      <w:r w:rsidRPr="00250C7F">
        <w:rPr>
          <w:rFonts w:ascii="Times New Roman" w:hAnsi="Times New Roman" w:cs="Times New Roman"/>
          <w:i/>
          <w:iCs/>
          <w:sz w:val="24"/>
          <w:szCs w:val="24"/>
          <w:shd w:val="clear" w:color="auto" w:fill="FFFFFF"/>
        </w:rPr>
        <w:t>„sunt neconstituționale în măsura în care se interpretează în sensul că organul fiscal emitent poate să procedeze la comunicarea actului administrativ fiscal prin publicitate, cu înlăturarea nejustificată a ordinii de realizare a modalităților de comunicare prevăzute la art. 44 alin. (2) lit. a)-d) din aceeași ordonanță.”</w:t>
      </w:r>
    </w:p>
    <w:p w14:paraId="711DD4E7" w14:textId="6538D881" w:rsidR="00A74B16" w:rsidRPr="00250C7F" w:rsidRDefault="00A74B16" w:rsidP="00A74B16">
      <w:pPr>
        <w:spacing w:after="0" w:line="276" w:lineRule="auto"/>
        <w:jc w:val="right"/>
        <w:rPr>
          <w:rFonts w:ascii="Times New Roman" w:hAnsi="Times New Roman" w:cs="Times New Roman"/>
          <w:sz w:val="24"/>
          <w:szCs w:val="24"/>
          <w:shd w:val="clear" w:color="auto" w:fill="FFFFFF"/>
        </w:rPr>
      </w:pPr>
      <w:r w:rsidRPr="00250C7F">
        <w:rPr>
          <w:rFonts w:ascii="Times New Roman" w:hAnsi="Times New Roman" w:cs="Times New Roman"/>
          <w:sz w:val="24"/>
          <w:szCs w:val="24"/>
          <w:shd w:val="clear" w:color="auto" w:fill="FFFFFF"/>
        </w:rPr>
        <w:t>(Notă întocmită de magistrat-asistent Tabita Maftei)</w:t>
      </w:r>
    </w:p>
    <w:p w14:paraId="708562E2" w14:textId="50328F79" w:rsidR="00C45BAA" w:rsidRPr="00250C7F" w:rsidRDefault="00C45BAA" w:rsidP="00DC6919">
      <w:pPr>
        <w:rPr>
          <w:rFonts w:ascii="Times New Roman" w:hAnsi="Times New Roman" w:cs="Times New Roman"/>
          <w:b/>
          <w:shd w:val="clear" w:color="auto" w:fill="FFFFFF"/>
        </w:rPr>
      </w:pPr>
    </w:p>
    <w:p w14:paraId="29661F2F" w14:textId="5E89B0EE" w:rsidR="009A683A" w:rsidRPr="00250C7F" w:rsidRDefault="005B15DC" w:rsidP="00C7648A">
      <w:pPr>
        <w:pStyle w:val="Heading3"/>
        <w:spacing w:before="0"/>
        <w:jc w:val="both"/>
        <w:rPr>
          <w:rFonts w:ascii="Times New Roman" w:eastAsia="Calibri" w:hAnsi="Times New Roman" w:cs="Times New Roman"/>
          <w:b/>
          <w:bCs/>
          <w:iCs/>
          <w:color w:val="auto"/>
        </w:rPr>
      </w:pPr>
      <w:bookmarkStart w:id="29" w:name="_Toc84584817"/>
      <w:r w:rsidRPr="00250C7F">
        <w:rPr>
          <w:rFonts w:ascii="Times New Roman" w:hAnsi="Times New Roman" w:cs="Times New Roman"/>
          <w:b/>
          <w:color w:val="auto"/>
          <w:shd w:val="clear" w:color="auto" w:fill="FFFFFF"/>
        </w:rPr>
        <w:t xml:space="preserve">2. </w:t>
      </w:r>
      <w:r w:rsidR="009A683A" w:rsidRPr="00250C7F">
        <w:rPr>
          <w:rFonts w:ascii="Times New Roman" w:eastAsia="Calibri" w:hAnsi="Times New Roman" w:cs="Times New Roman"/>
          <w:b/>
          <w:bCs/>
          <w:iCs/>
          <w:color w:val="auto"/>
        </w:rPr>
        <w:t>Cheltuielile cu dobânzile şi cu pierderea netă din diferenţele de curs valutar</w:t>
      </w:r>
      <w:r w:rsidR="00250C7F">
        <w:rPr>
          <w:rFonts w:ascii="Times New Roman" w:eastAsia="Calibri" w:hAnsi="Times New Roman" w:cs="Times New Roman"/>
          <w:b/>
          <w:bCs/>
          <w:iCs/>
          <w:color w:val="auto"/>
        </w:rPr>
        <w:t>.</w:t>
      </w:r>
      <w:r w:rsidR="009A683A" w:rsidRPr="00250C7F">
        <w:rPr>
          <w:rFonts w:ascii="Times New Roman" w:eastAsia="Calibri" w:hAnsi="Times New Roman" w:cs="Times New Roman"/>
          <w:b/>
          <w:bCs/>
          <w:iCs/>
          <w:color w:val="auto"/>
        </w:rPr>
        <w:t xml:space="preserve"> Condițiile legale privitoare la dobândirea caracterului deductibil. Acțiune în anularea pct. 60 teza I din Normele Metodologice de punere în aplicare a Codului fiscal, aprobate prin HG nr. 44/2004. Netemeinicie</w:t>
      </w:r>
      <w:r w:rsidR="00165A80" w:rsidRPr="00250C7F">
        <w:rPr>
          <w:rFonts w:ascii="Times New Roman" w:eastAsia="Calibri" w:hAnsi="Times New Roman" w:cs="Times New Roman"/>
          <w:b/>
          <w:bCs/>
          <w:iCs/>
          <w:color w:val="auto"/>
        </w:rPr>
        <w:t>.</w:t>
      </w:r>
      <w:bookmarkEnd w:id="29"/>
    </w:p>
    <w:p w14:paraId="7DD5C134" w14:textId="77777777" w:rsidR="005211DD" w:rsidRPr="00250C7F" w:rsidRDefault="005211DD" w:rsidP="00C7648A">
      <w:pPr>
        <w:tabs>
          <w:tab w:val="left" w:pos="7010"/>
        </w:tabs>
        <w:suppressAutoHyphens/>
        <w:autoSpaceDN w:val="0"/>
        <w:spacing w:after="0" w:line="240" w:lineRule="auto"/>
        <w:ind w:right="-2"/>
        <w:jc w:val="right"/>
        <w:textAlignment w:val="baseline"/>
        <w:rPr>
          <w:rFonts w:ascii="Times New Roman" w:eastAsia="Calibri" w:hAnsi="Times New Roman" w:cs="Times New Roman"/>
          <w:iCs/>
          <w:sz w:val="24"/>
          <w:szCs w:val="24"/>
        </w:rPr>
      </w:pPr>
    </w:p>
    <w:p w14:paraId="4DC71196" w14:textId="613D0AD7" w:rsidR="009A683A" w:rsidRPr="00250C7F" w:rsidRDefault="009A683A" w:rsidP="00C7648A">
      <w:pPr>
        <w:tabs>
          <w:tab w:val="left" w:pos="7010"/>
        </w:tabs>
        <w:suppressAutoHyphens/>
        <w:autoSpaceDN w:val="0"/>
        <w:spacing w:after="0" w:line="240" w:lineRule="auto"/>
        <w:ind w:right="-2"/>
        <w:jc w:val="right"/>
        <w:textAlignment w:val="baseline"/>
        <w:rPr>
          <w:rFonts w:ascii="Times New Roman" w:eastAsia="Calibri" w:hAnsi="Times New Roman" w:cs="Times New Roman"/>
          <w:iCs/>
          <w:sz w:val="24"/>
          <w:szCs w:val="24"/>
        </w:rPr>
      </w:pPr>
      <w:r w:rsidRPr="00250C7F">
        <w:rPr>
          <w:rFonts w:ascii="Times New Roman" w:eastAsia="Calibri" w:hAnsi="Times New Roman" w:cs="Times New Roman"/>
          <w:iCs/>
          <w:sz w:val="24"/>
          <w:szCs w:val="24"/>
        </w:rPr>
        <w:t xml:space="preserve">Legea nr. 571/2003 privind Codul fiscal, art. 23 alin. (1) și (2) </w:t>
      </w:r>
    </w:p>
    <w:p w14:paraId="5BE5F49D" w14:textId="68FA7437" w:rsidR="005B15DC" w:rsidRPr="00250C7F" w:rsidRDefault="005B15DC" w:rsidP="00875DA3">
      <w:pPr>
        <w:rPr>
          <w:rFonts w:ascii="Times New Roman" w:eastAsia="Times New Roman" w:hAnsi="Times New Roman" w:cs="Times New Roman"/>
        </w:rPr>
      </w:pPr>
    </w:p>
    <w:p w14:paraId="66D193DA" w14:textId="77777777" w:rsidR="00165A80" w:rsidRPr="00250C7F" w:rsidRDefault="00165A80" w:rsidP="00165A80">
      <w:pPr>
        <w:tabs>
          <w:tab w:val="left" w:pos="7010"/>
        </w:tabs>
        <w:suppressAutoHyphens/>
        <w:autoSpaceDN w:val="0"/>
        <w:spacing w:after="0" w:line="276" w:lineRule="auto"/>
        <w:ind w:right="-2" w:firstLine="709"/>
        <w:jc w:val="both"/>
        <w:textAlignment w:val="baseline"/>
        <w:rPr>
          <w:rFonts w:ascii="Times New Roman" w:eastAsia="Times New Roman" w:hAnsi="Times New Roman" w:cs="Times New Roman"/>
          <w:sz w:val="24"/>
          <w:szCs w:val="24"/>
          <w:lang w:eastAsia="ro-RO"/>
        </w:rPr>
      </w:pPr>
      <w:r w:rsidRPr="00250C7F">
        <w:rPr>
          <w:rFonts w:ascii="Times New Roman" w:eastAsia="Calibri" w:hAnsi="Times New Roman" w:cs="Times New Roman"/>
          <w:i/>
          <w:sz w:val="24"/>
          <w:szCs w:val="24"/>
        </w:rPr>
        <w:t xml:space="preserve">Prevederile pct. 60 teza I din Normele metodologice de punere în aplicare a Codului Fiscal aprobate prin HG nr. 44 /2004 potrivit cărora  "În cazul în care capitalul propriu are o valoare negativă..., cheltuielile cu dobânzile şi cu pierderea netă din diferenţele de curs valutar </w:t>
      </w:r>
      <w:r w:rsidRPr="00250C7F">
        <w:rPr>
          <w:rFonts w:ascii="Times New Roman" w:eastAsia="Calibri" w:hAnsi="Times New Roman" w:cs="Times New Roman"/>
          <w:i/>
          <w:sz w:val="24"/>
          <w:szCs w:val="24"/>
        </w:rPr>
        <w:lastRenderedPageBreak/>
        <w:t xml:space="preserve">sunt nedeductibile" nu adaugă la lege ci corespund voinţei legiuitorului primar, explicitând o consecinţă care decurge din raţiunea reglementării articolului 23 din Codul fiscal. </w:t>
      </w:r>
    </w:p>
    <w:p w14:paraId="1121F8C6" w14:textId="77777777" w:rsidR="00165A80" w:rsidRPr="00250C7F" w:rsidRDefault="00165A80" w:rsidP="00165A80">
      <w:pPr>
        <w:suppressAutoHyphens/>
        <w:autoSpaceDN w:val="0"/>
        <w:spacing w:after="0" w:line="276" w:lineRule="auto"/>
        <w:jc w:val="both"/>
        <w:textAlignment w:val="baseline"/>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i/>
          <w:sz w:val="24"/>
          <w:szCs w:val="24"/>
          <w:lang w:eastAsia="ro-RO"/>
        </w:rPr>
        <w:tab/>
        <w:t>Astfel, interpretarea normei legale primare, cuprinsă în art. 23 alin. (1) și (2) din Legea nr. 571/2003 privind Codul fiscal, nu poate fi decât în sensul că formula de calcul a gradului de îndatorare se referă exclusiv la situaţia în care capitalul  propriu are o valoare pozitivă. În fapt, doar capitalul propriu pozitiv poate avea un grad de îndatorare cuantificabil, pentru valori negative ale capitalului gradul de îndatorare  atingând o valoare care nu mai are nicio semnificaţie raţională şi nu poate fi exprimată în limbaj matematic.</w:t>
      </w:r>
    </w:p>
    <w:p w14:paraId="5F5190F4" w14:textId="77777777" w:rsidR="00165A80" w:rsidRPr="00250C7F" w:rsidRDefault="00165A80" w:rsidP="00165A80">
      <w:pPr>
        <w:suppressAutoHyphens/>
        <w:autoSpaceDN w:val="0"/>
        <w:spacing w:after="0" w:line="276" w:lineRule="auto"/>
        <w:ind w:firstLine="720"/>
        <w:jc w:val="both"/>
        <w:textAlignment w:val="baseline"/>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i/>
          <w:sz w:val="24"/>
          <w:szCs w:val="24"/>
          <w:lang w:eastAsia="ro-RO"/>
        </w:rPr>
        <w:t>Dacă s-ar accepta interpretarea în sensul că formula de calcul menţionată în norma primară este valabilă şi pentru valori negative ale capitalului propriu, s-ar ajunge la situaţia absurdă ca, la aceeaşi valoare a împrumuturilor, să se considere că societăţile cu capital propriu  negativ  au un grad de îndatorare inferior societăţilor cu capital propriu pozitiv şi chiar la situaţia paradoxală ca gradul de îndatorare al unei societăţi cu capital propriu negativ să fie din ce în ce mai mic pe măsură ce creşte valoarea împrumuturilor. Astfel de consecinţe sunt, în mod evident, inacceptabile şi nu au fost avute în vedere de legiuitor la momentul reglementării articolului 23 din Codul fiscal.</w:t>
      </w:r>
    </w:p>
    <w:p w14:paraId="74FB5565" w14:textId="77777777" w:rsidR="00165A80" w:rsidRPr="00250C7F" w:rsidRDefault="00165A80" w:rsidP="00891584">
      <w:pPr>
        <w:spacing w:after="0" w:line="276" w:lineRule="auto"/>
        <w:ind w:right="426"/>
        <w:rPr>
          <w:rFonts w:ascii="Times New Roman" w:hAnsi="Times New Roman" w:cs="Times New Roman"/>
          <w:sz w:val="24"/>
          <w:szCs w:val="24"/>
          <w:shd w:val="clear" w:color="auto" w:fill="FFFFFF"/>
        </w:rPr>
      </w:pPr>
    </w:p>
    <w:p w14:paraId="2896EAB9" w14:textId="48F71875" w:rsidR="005B15DC" w:rsidRPr="00250C7F" w:rsidRDefault="00F00247" w:rsidP="00165A80">
      <w:pPr>
        <w:spacing w:after="0" w:line="276" w:lineRule="auto"/>
        <w:jc w:val="both"/>
        <w:rPr>
          <w:rFonts w:ascii="Times New Roman" w:hAnsi="Times New Roman" w:cs="Times New Roman"/>
          <w:sz w:val="24"/>
          <w:szCs w:val="24"/>
          <w:shd w:val="clear" w:color="auto" w:fill="FFFFFF"/>
        </w:rPr>
      </w:pPr>
      <w:r w:rsidRPr="00250C7F">
        <w:rPr>
          <w:rFonts w:ascii="Times New Roman" w:hAnsi="Times New Roman" w:cs="Times New Roman"/>
          <w:sz w:val="24"/>
          <w:szCs w:val="24"/>
          <w:shd w:val="clear" w:color="auto" w:fill="FFFFFF"/>
        </w:rPr>
        <w:t>I.C.C.J</w:t>
      </w:r>
      <w:r w:rsidR="00DF3EE5" w:rsidRPr="00250C7F">
        <w:rPr>
          <w:rFonts w:ascii="Times New Roman" w:hAnsi="Times New Roman" w:cs="Times New Roman"/>
          <w:sz w:val="24"/>
          <w:szCs w:val="24"/>
          <w:shd w:val="clear" w:color="auto" w:fill="FFFFFF"/>
        </w:rPr>
        <w:t>.</w:t>
      </w:r>
      <w:r w:rsidRPr="00250C7F">
        <w:rPr>
          <w:rFonts w:ascii="Times New Roman" w:hAnsi="Times New Roman" w:cs="Times New Roman"/>
          <w:sz w:val="24"/>
          <w:szCs w:val="24"/>
          <w:shd w:val="clear" w:color="auto" w:fill="FFFFFF"/>
        </w:rPr>
        <w:t>, Secţia de contencios administrativ şi fiscal, decizia nr.</w:t>
      </w:r>
      <w:r w:rsidR="00165A80" w:rsidRPr="00250C7F">
        <w:rPr>
          <w:rFonts w:ascii="Times New Roman" w:hAnsi="Times New Roman" w:cs="Times New Roman"/>
          <w:sz w:val="24"/>
          <w:szCs w:val="24"/>
          <w:shd w:val="clear" w:color="auto" w:fill="FFFFFF"/>
        </w:rPr>
        <w:t xml:space="preserve"> 1170 din 25 februarie 2021</w:t>
      </w:r>
    </w:p>
    <w:p w14:paraId="4A7209C9" w14:textId="13EE303A" w:rsidR="00165A80" w:rsidRPr="00250C7F" w:rsidRDefault="00165A80" w:rsidP="00165A80">
      <w:pPr>
        <w:spacing w:after="0" w:line="276" w:lineRule="auto"/>
        <w:jc w:val="both"/>
        <w:rPr>
          <w:rFonts w:ascii="Times New Roman" w:hAnsi="Times New Roman" w:cs="Times New Roman"/>
          <w:sz w:val="24"/>
          <w:szCs w:val="24"/>
          <w:shd w:val="clear" w:color="auto" w:fill="FFFFFF"/>
        </w:rPr>
      </w:pPr>
    </w:p>
    <w:p w14:paraId="7A2A5062" w14:textId="1AA6BA73" w:rsidR="00165A80" w:rsidRPr="00250C7F" w:rsidRDefault="00165A80" w:rsidP="000F2C11">
      <w:pPr>
        <w:spacing w:after="0" w:line="276" w:lineRule="auto"/>
        <w:ind w:firstLine="708"/>
        <w:jc w:val="both"/>
        <w:rPr>
          <w:rFonts w:ascii="Times New Roman" w:hAnsi="Times New Roman" w:cs="Times New Roman"/>
          <w:sz w:val="24"/>
          <w:szCs w:val="24"/>
          <w:shd w:val="clear" w:color="auto" w:fill="FFFFFF"/>
        </w:rPr>
      </w:pPr>
      <w:r w:rsidRPr="00250C7F">
        <w:rPr>
          <w:rFonts w:ascii="Times New Roman" w:hAnsi="Times New Roman" w:cs="Times New Roman"/>
          <w:b/>
          <w:bCs/>
          <w:sz w:val="24"/>
          <w:szCs w:val="24"/>
          <w:shd w:val="clear" w:color="auto" w:fill="FFFFFF"/>
        </w:rPr>
        <w:t>Notă:</w:t>
      </w:r>
      <w:r w:rsidRPr="00250C7F">
        <w:rPr>
          <w:rFonts w:ascii="Times New Roman" w:hAnsi="Times New Roman" w:cs="Times New Roman"/>
          <w:sz w:val="24"/>
          <w:szCs w:val="24"/>
          <w:shd w:val="clear" w:color="auto" w:fill="FFFFFF"/>
        </w:rPr>
        <w:t xml:space="preserve"> </w:t>
      </w:r>
      <w:r w:rsidR="00555BB5" w:rsidRPr="00250C7F">
        <w:rPr>
          <w:rFonts w:ascii="Times New Roman" w:hAnsi="Times New Roman" w:cs="Times New Roman"/>
          <w:sz w:val="24"/>
          <w:szCs w:val="24"/>
          <w:shd w:val="clear" w:color="auto" w:fill="FFFFFF"/>
        </w:rPr>
        <w:t>Codul fiscal adoptat prin Legea nr. 571/2003, aplicabil în cauză, a fost abrogat prin Legea nr. 227/2015 privind Codul fiscal.</w:t>
      </w:r>
    </w:p>
    <w:p w14:paraId="40B78F34" w14:textId="77777777" w:rsidR="005B15DC" w:rsidRPr="00250C7F" w:rsidRDefault="005B15DC" w:rsidP="00555BB5">
      <w:pPr>
        <w:spacing w:after="0" w:line="276" w:lineRule="auto"/>
        <w:jc w:val="both"/>
        <w:rPr>
          <w:rFonts w:ascii="Times New Roman" w:eastAsia="Times New Roman" w:hAnsi="Times New Roman" w:cs="Times New Roman"/>
          <w:b/>
          <w:bCs/>
          <w:sz w:val="24"/>
          <w:szCs w:val="24"/>
        </w:rPr>
      </w:pPr>
    </w:p>
    <w:p w14:paraId="5CFD891E" w14:textId="77777777" w:rsidR="005B15DC" w:rsidRPr="00250C7F" w:rsidRDefault="005B15DC" w:rsidP="00891584">
      <w:pPr>
        <w:spacing w:after="0" w:line="276" w:lineRule="auto"/>
        <w:ind w:firstLine="709"/>
        <w:jc w:val="both"/>
        <w:rPr>
          <w:rFonts w:ascii="Times New Roman" w:eastAsia="Times New Roman" w:hAnsi="Times New Roman" w:cs="Times New Roman"/>
          <w:b/>
          <w:bCs/>
          <w:sz w:val="24"/>
          <w:szCs w:val="24"/>
        </w:rPr>
      </w:pPr>
      <w:r w:rsidRPr="00250C7F">
        <w:rPr>
          <w:rFonts w:ascii="Times New Roman" w:eastAsia="Times New Roman" w:hAnsi="Times New Roman" w:cs="Times New Roman"/>
          <w:b/>
          <w:bCs/>
          <w:sz w:val="24"/>
          <w:szCs w:val="24"/>
        </w:rPr>
        <w:t>I. Circumstanţele cauzei</w:t>
      </w:r>
    </w:p>
    <w:p w14:paraId="05822BD4" w14:textId="77777777" w:rsidR="005B15DC" w:rsidRPr="00250C7F" w:rsidRDefault="005B15DC" w:rsidP="00891584">
      <w:pPr>
        <w:spacing w:after="0" w:line="276" w:lineRule="auto"/>
        <w:ind w:firstLine="709"/>
        <w:jc w:val="both"/>
        <w:rPr>
          <w:rFonts w:ascii="Times New Roman" w:eastAsia="Times New Roman" w:hAnsi="Times New Roman" w:cs="Times New Roman"/>
          <w:bCs/>
          <w:i/>
          <w:sz w:val="24"/>
          <w:szCs w:val="24"/>
        </w:rPr>
      </w:pPr>
      <w:r w:rsidRPr="00250C7F">
        <w:rPr>
          <w:rFonts w:ascii="Times New Roman" w:eastAsia="Times New Roman" w:hAnsi="Times New Roman" w:cs="Times New Roman"/>
          <w:bCs/>
          <w:i/>
          <w:sz w:val="24"/>
          <w:szCs w:val="24"/>
        </w:rPr>
        <w:t>1. Obiectul acţiunii deduse judecăţii</w:t>
      </w:r>
    </w:p>
    <w:p w14:paraId="6DD81504"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rPr>
        <w:t>Prin cererea de chemare în judecată înregistrată pe rolul Curţii de Apel Bucureşti – Secţia a VIII-a contencios administrativ şi fiscal la data de 14 februarie 2017, sub nr. 1183/2/2017, r</w:t>
      </w:r>
      <w:r w:rsidRPr="00250C7F">
        <w:rPr>
          <w:rFonts w:ascii="Times New Roman" w:eastAsia="Times New Roman" w:hAnsi="Times New Roman" w:cs="Times New Roman"/>
          <w:sz w:val="24"/>
          <w:szCs w:val="24"/>
          <w:lang w:eastAsia="ro-RO"/>
        </w:rPr>
        <w:t xml:space="preserve">eclamanta Societatea </w:t>
      </w:r>
      <w:r w:rsidRPr="00250C7F">
        <w:rPr>
          <w:rFonts w:ascii="Times New Roman" w:hAnsi="Times New Roman" w:cs="Times New Roman"/>
          <w:sz w:val="24"/>
          <w:szCs w:val="24"/>
          <w:lang w:eastAsia="ro-RO"/>
        </w:rPr>
        <w:t>“A”</w:t>
      </w:r>
      <w:r w:rsidRPr="00250C7F">
        <w:rPr>
          <w:rFonts w:ascii="Times New Roman" w:eastAsia="Times New Roman" w:hAnsi="Times New Roman" w:cs="Times New Roman"/>
          <w:sz w:val="24"/>
          <w:szCs w:val="24"/>
          <w:lang w:eastAsia="ro-RO"/>
        </w:rPr>
        <w:t xml:space="preserve"> România S.R.L., în contradictoriu cu pârâta Casa Naţională de Asigurări de Sănătate, a solicitat anularea adresei nr. P8113 din 29.09.2016.</w:t>
      </w:r>
    </w:p>
    <w:p w14:paraId="15AB32B7" w14:textId="77777777" w:rsidR="005B15DC" w:rsidRPr="00250C7F" w:rsidRDefault="005B15DC" w:rsidP="00891584">
      <w:pPr>
        <w:spacing w:after="0" w:line="276" w:lineRule="auto"/>
        <w:ind w:firstLine="709"/>
        <w:jc w:val="both"/>
        <w:rPr>
          <w:rFonts w:ascii="Times New Roman" w:eastAsia="Times New Roman" w:hAnsi="Times New Roman" w:cs="Times New Roman"/>
          <w:bCs/>
          <w:i/>
          <w:sz w:val="24"/>
          <w:szCs w:val="24"/>
        </w:rPr>
      </w:pPr>
      <w:r w:rsidRPr="00250C7F">
        <w:rPr>
          <w:rFonts w:ascii="Times New Roman" w:eastAsia="Times New Roman" w:hAnsi="Times New Roman" w:cs="Times New Roman"/>
          <w:bCs/>
          <w:i/>
          <w:sz w:val="24"/>
          <w:szCs w:val="24"/>
        </w:rPr>
        <w:t>2. Hotărârea primei instanţe</w:t>
      </w:r>
    </w:p>
    <w:p w14:paraId="63C55E7C"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rPr>
        <w:t xml:space="preserve">Prin sentinţa civilă nr. 2986 din 24 iulie 2017, Curtea de Apel Bucureşti a admis cererea de chemare în judecată </w:t>
      </w:r>
      <w:r w:rsidRPr="00250C7F">
        <w:rPr>
          <w:rFonts w:ascii="Times New Roman" w:eastAsia="Times New Roman" w:hAnsi="Times New Roman" w:cs="Times New Roman"/>
          <w:sz w:val="24"/>
          <w:szCs w:val="24"/>
          <w:lang w:eastAsia="ro-RO"/>
        </w:rPr>
        <w:t xml:space="preserve">formulată de reclamanta Societatea </w:t>
      </w:r>
      <w:r w:rsidRPr="00250C7F">
        <w:rPr>
          <w:rFonts w:ascii="Times New Roman" w:hAnsi="Times New Roman" w:cs="Times New Roman"/>
          <w:sz w:val="24"/>
          <w:szCs w:val="24"/>
          <w:lang w:eastAsia="ro-RO"/>
        </w:rPr>
        <w:t>“A”</w:t>
      </w:r>
      <w:r w:rsidRPr="00250C7F">
        <w:rPr>
          <w:rFonts w:ascii="Times New Roman" w:eastAsia="Times New Roman" w:hAnsi="Times New Roman" w:cs="Times New Roman"/>
          <w:sz w:val="24"/>
          <w:szCs w:val="24"/>
          <w:lang w:eastAsia="ro-RO"/>
        </w:rPr>
        <w:t xml:space="preserve"> România S.R.L., în contradictoriu cu </w:t>
      </w:r>
      <w:bookmarkStart w:id="30" w:name="_Hlk31203785"/>
      <w:r w:rsidRPr="00250C7F">
        <w:rPr>
          <w:rFonts w:ascii="Times New Roman" w:eastAsia="Times New Roman" w:hAnsi="Times New Roman" w:cs="Times New Roman"/>
          <w:sz w:val="24"/>
          <w:szCs w:val="24"/>
          <w:lang w:eastAsia="ro-RO"/>
        </w:rPr>
        <w:t xml:space="preserve">pârâta </w:t>
      </w:r>
      <w:bookmarkEnd w:id="30"/>
      <w:r w:rsidRPr="00250C7F">
        <w:rPr>
          <w:rFonts w:ascii="Times New Roman" w:eastAsia="Times New Roman" w:hAnsi="Times New Roman" w:cs="Times New Roman"/>
          <w:sz w:val="24"/>
          <w:szCs w:val="24"/>
          <w:lang w:eastAsia="ro-RO"/>
        </w:rPr>
        <w:t>Casa Naţională de Asigurări de Sănătate, şi a anulat adresa nr. P/8113/29.09.2016.</w:t>
      </w:r>
    </w:p>
    <w:p w14:paraId="25C6AA3E" w14:textId="77777777" w:rsidR="005B15DC" w:rsidRPr="00250C7F" w:rsidRDefault="005B15DC" w:rsidP="00891584">
      <w:pPr>
        <w:tabs>
          <w:tab w:val="left" w:pos="709"/>
          <w:tab w:val="left" w:pos="3780"/>
        </w:tabs>
        <w:spacing w:after="0" w:line="276" w:lineRule="auto"/>
        <w:ind w:firstLine="709"/>
        <w:jc w:val="both"/>
        <w:rPr>
          <w:rFonts w:ascii="Times New Roman" w:eastAsia="Times New Roman" w:hAnsi="Times New Roman" w:cs="Times New Roman"/>
          <w:bCs/>
          <w:i/>
          <w:sz w:val="24"/>
          <w:szCs w:val="24"/>
        </w:rPr>
      </w:pPr>
      <w:r w:rsidRPr="00250C7F">
        <w:rPr>
          <w:rFonts w:ascii="Times New Roman" w:eastAsia="Times New Roman" w:hAnsi="Times New Roman" w:cs="Times New Roman"/>
          <w:bCs/>
          <w:i/>
          <w:sz w:val="24"/>
          <w:szCs w:val="24"/>
        </w:rPr>
        <w:t>3. Calea de atac exercitată în cauză</w:t>
      </w:r>
    </w:p>
    <w:p w14:paraId="517DD547" w14:textId="77777777" w:rsidR="005B15DC" w:rsidRPr="00250C7F" w:rsidRDefault="005B15DC" w:rsidP="00891584">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Împotriva sentinţei menţionate la pct. I.2 a </w:t>
      </w:r>
      <w:r w:rsidRPr="00250C7F">
        <w:rPr>
          <w:rFonts w:ascii="Times New Roman" w:eastAsia="Times New Roman" w:hAnsi="Times New Roman" w:cs="Times New Roman"/>
          <w:sz w:val="24"/>
          <w:szCs w:val="24"/>
          <w:lang w:eastAsia="ro-RO"/>
        </w:rPr>
        <w:t xml:space="preserve">declarat recurs </w:t>
      </w:r>
      <w:bookmarkStart w:id="31" w:name="_Hlk2271267"/>
      <w:r w:rsidRPr="00250C7F">
        <w:rPr>
          <w:rFonts w:ascii="Times New Roman" w:eastAsia="Times New Roman" w:hAnsi="Times New Roman" w:cs="Times New Roman"/>
          <w:sz w:val="24"/>
          <w:szCs w:val="24"/>
          <w:lang w:eastAsia="ro-RO"/>
        </w:rPr>
        <w:t>pârâta Casa Naţională de Asigurări de Sănătate</w:t>
      </w:r>
      <w:r w:rsidRPr="00250C7F">
        <w:rPr>
          <w:rFonts w:ascii="Times New Roman" w:eastAsia="Times New Roman" w:hAnsi="Times New Roman" w:cs="Times New Roman"/>
          <w:sz w:val="24"/>
          <w:szCs w:val="24"/>
        </w:rPr>
        <w:t>,</w:t>
      </w:r>
      <w:r w:rsidRPr="00250C7F">
        <w:rPr>
          <w:rFonts w:ascii="Times New Roman" w:eastAsia="Times New Roman" w:hAnsi="Times New Roman" w:cs="Times New Roman"/>
          <w:iCs/>
          <w:sz w:val="24"/>
          <w:szCs w:val="24"/>
        </w:rPr>
        <w:t xml:space="preserve"> </w:t>
      </w:r>
      <w:bookmarkEnd w:id="31"/>
      <w:r w:rsidRPr="00250C7F">
        <w:rPr>
          <w:rFonts w:ascii="Times New Roman" w:eastAsia="Times New Roman" w:hAnsi="Times New Roman" w:cs="Times New Roman"/>
          <w:sz w:val="24"/>
          <w:szCs w:val="24"/>
        </w:rPr>
        <w:t>întemeiat pe art. 488 alin. (1) pct. 8 Cod procedură civilă, solicitând casarea sentinţei atacate şi, în rejudecare, respingerea cererii de chemare în judecată formulată de reclamantă, ca neîntemeiată.</w:t>
      </w:r>
    </w:p>
    <w:p w14:paraId="636BECF1" w14:textId="77777777" w:rsidR="005B15DC" w:rsidRPr="00250C7F" w:rsidRDefault="005B15DC" w:rsidP="00891584">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 motivarea recursului arată că,  prin sentinţa civilă nr. 1594/2014 a Curţii de Apel București-Secția a VIII-a contencios administrativ și fiscal au fost anulate adresele nr. MS/FD/2412/31.10.2012 şi MS/FD/2593/07.12.2012 emise de CNAS reţinându-se două motive de anulare: determinarea în mod netransparent a datelor comunicate şi includerea în valorile comunicate a TVA.</w:t>
      </w:r>
    </w:p>
    <w:p w14:paraId="3E6DC5D3" w14:textId="77777777" w:rsidR="005B15DC" w:rsidRPr="00250C7F" w:rsidRDefault="005B15DC" w:rsidP="00891584">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Prin această hotărâre, rămasă definitivă prin decizia civilă nr. 87/2016 a ÎCCJ-SCAF, reclamanta nu a fost scutită de plata contribuţiei trimestriale aferente trimestrului III 2012. CNAS </w:t>
      </w:r>
      <w:r w:rsidRPr="00250C7F">
        <w:rPr>
          <w:rFonts w:ascii="Times New Roman" w:eastAsia="Times New Roman" w:hAnsi="Times New Roman" w:cs="Times New Roman"/>
          <w:sz w:val="24"/>
          <w:szCs w:val="24"/>
        </w:rPr>
        <w:lastRenderedPageBreak/>
        <w:t>a pus în executare hotărârea judecătorească şi a emis o nouă notificare, adresată reclamantei, privitoare la trimestrul menţionat.</w:t>
      </w:r>
    </w:p>
    <w:p w14:paraId="144AF530" w14:textId="77777777" w:rsidR="005B15DC" w:rsidRPr="00250C7F" w:rsidRDefault="005B15DC" w:rsidP="00891584">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Instanţa a reţinut greşit că emiterea noii notificări contestate a avut loc cu neobservarea motivelor de nelegalitate reţinute prin cele două hotărâri judecătoreşti, respectiv cu încălcarea puterii de lucru judecat</w:t>
      </w:r>
    </w:p>
    <w:p w14:paraId="1AACFB7F" w14:textId="77777777" w:rsidR="005B15DC" w:rsidRPr="00250C7F" w:rsidRDefault="005B15DC" w:rsidP="00891584">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Aceste considerente ale sentinţei recurate sunt criticate, arătându-se că noua notificare conţine datele centralizate referitoare la consumul de medicamente pe baza sistemului de raportare instituit de legiuitor prin OUG nr. 77/2011 şi prin legislaţia derivată. CNAS are obligaţia legală de a pune în executare întocmai prevederile legale incidente, potrivit domeniului său de competenţă, neputând interveni asupra mecanismului de raportare a consumului de medicamente instituit de legiuitor. CNAS are obligaţia de a transmite în format electronic persoanelor prevăzute la art. 1 din OUG nr. 77/2011 consumul centralizat de medicamente înregistrat corespunzător datelor din sistemul de asigurări sociale de sănătate, în conformitate cu art. 5 alin.(7) din acelaşi act normativ.</w:t>
      </w:r>
    </w:p>
    <w:p w14:paraId="7938EE6E" w14:textId="77777777" w:rsidR="005B15DC" w:rsidRPr="00250C7F" w:rsidRDefault="005B15DC" w:rsidP="00891584">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Înscrisurile la care s-a referit instanţa de fond (datele primare) nu se află în posesia CNAS, raportat la prevederile HG nr. 1389/2010 pentru aprobarea Contractului-cadru privind condiţiile acordării asistenţei medicale în cadrul sistemului de asigurări sociale de sănătate pentru anii 2011-2012.</w:t>
      </w:r>
    </w:p>
    <w:p w14:paraId="181FF41D" w14:textId="77777777" w:rsidR="005B15DC" w:rsidRPr="00250C7F" w:rsidRDefault="005B15DC" w:rsidP="00891584">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Pe cale de consecinţă, solicită să se constate că a depus toate diligenţele în vederea asigurării unor date corecte, care să poată sta la baza determinării taxei clawback, în limitele impuse în mod expres de prevederile legale în sarcina sa.</w:t>
      </w:r>
    </w:p>
    <w:p w14:paraId="1CE4C3A5" w14:textId="77777777" w:rsidR="005B15DC" w:rsidRPr="00250C7F" w:rsidRDefault="005B15DC" w:rsidP="00891584">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Recurenta trimite şi la deciziile Curţii Constituţionale care au confirmat constituţionalitatea dispoziţiilor OUG nr. 77/2011, inclusiv în privinţa modalităţii de raportare a valorilor consumului de medicamente (deciziile nr. </w:t>
      </w:r>
      <w:bookmarkStart w:id="32" w:name="_Hlk50218153"/>
      <w:r w:rsidRPr="00250C7F">
        <w:rPr>
          <w:rFonts w:ascii="Times New Roman" w:eastAsia="Times New Roman" w:hAnsi="Times New Roman" w:cs="Times New Roman"/>
          <w:sz w:val="24"/>
          <w:szCs w:val="24"/>
        </w:rPr>
        <w:t xml:space="preserve">144/2015, 789/2015 </w:t>
      </w:r>
      <w:bookmarkEnd w:id="32"/>
      <w:r w:rsidRPr="00250C7F">
        <w:rPr>
          <w:rFonts w:ascii="Times New Roman" w:eastAsia="Times New Roman" w:hAnsi="Times New Roman" w:cs="Times New Roman"/>
          <w:sz w:val="24"/>
          <w:szCs w:val="24"/>
        </w:rPr>
        <w:t>şi altele).</w:t>
      </w:r>
    </w:p>
    <w:p w14:paraId="0F3252E2" w14:textId="77777777" w:rsidR="005B15DC" w:rsidRPr="00250C7F" w:rsidRDefault="005B15DC" w:rsidP="00891584">
      <w:pPr>
        <w:spacing w:after="0" w:line="276" w:lineRule="auto"/>
        <w:ind w:firstLine="709"/>
        <w:jc w:val="both"/>
        <w:rPr>
          <w:rFonts w:ascii="Times New Roman" w:eastAsia="Times New Roman" w:hAnsi="Times New Roman" w:cs="Times New Roman"/>
          <w:bCs/>
          <w:i/>
          <w:sz w:val="24"/>
          <w:szCs w:val="24"/>
        </w:rPr>
      </w:pPr>
      <w:r w:rsidRPr="00250C7F">
        <w:rPr>
          <w:rFonts w:ascii="Times New Roman" w:eastAsia="Times New Roman" w:hAnsi="Times New Roman" w:cs="Times New Roman"/>
          <w:bCs/>
          <w:i/>
          <w:sz w:val="24"/>
          <w:szCs w:val="24"/>
        </w:rPr>
        <w:t>4. Apărările formulate în cauză</w:t>
      </w:r>
      <w:bookmarkStart w:id="33" w:name="_Hlk517342924"/>
    </w:p>
    <w:p w14:paraId="18A25596"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bookmarkStart w:id="34" w:name="_Hlk26363369"/>
      <w:r w:rsidRPr="00250C7F">
        <w:rPr>
          <w:rFonts w:ascii="Times New Roman" w:eastAsia="Times New Roman" w:hAnsi="Times New Roman" w:cs="Times New Roman"/>
          <w:bCs/>
          <w:sz w:val="24"/>
          <w:szCs w:val="24"/>
        </w:rPr>
        <w:t xml:space="preserve">Intimata-reclamantă Societatea </w:t>
      </w:r>
      <w:r w:rsidRPr="00250C7F">
        <w:rPr>
          <w:rFonts w:ascii="Times New Roman" w:hAnsi="Times New Roman" w:cs="Times New Roman"/>
          <w:bCs/>
          <w:sz w:val="24"/>
          <w:szCs w:val="24"/>
        </w:rPr>
        <w:t>“A”</w:t>
      </w:r>
      <w:r w:rsidRPr="00250C7F">
        <w:rPr>
          <w:rFonts w:ascii="Times New Roman" w:eastAsia="Times New Roman" w:hAnsi="Times New Roman" w:cs="Times New Roman"/>
          <w:bCs/>
          <w:sz w:val="24"/>
          <w:szCs w:val="24"/>
        </w:rPr>
        <w:t xml:space="preserve"> România S.R.L. a depus întâmpinare, </w:t>
      </w:r>
      <w:bookmarkEnd w:id="33"/>
      <w:r w:rsidRPr="00250C7F">
        <w:rPr>
          <w:rFonts w:ascii="Times New Roman" w:eastAsia="Times New Roman" w:hAnsi="Times New Roman" w:cs="Times New Roman"/>
          <w:bCs/>
          <w:sz w:val="24"/>
          <w:szCs w:val="24"/>
        </w:rPr>
        <w:t>prin care a solicitat respingerea recursului, ca nefondat</w:t>
      </w:r>
      <w:r w:rsidRPr="00250C7F">
        <w:rPr>
          <w:rFonts w:ascii="Times New Roman" w:eastAsia="Times New Roman" w:hAnsi="Times New Roman" w:cs="Times New Roman"/>
          <w:sz w:val="24"/>
          <w:szCs w:val="24"/>
        </w:rPr>
        <w:t>.</w:t>
      </w:r>
    </w:p>
    <w:p w14:paraId="26BA18C9"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 motivare, trimite la considerentele sentinţei nr. 1594/2014 a Curţii de Apel București-Secția a VIII-a contencios administrativ și fiscal, din care rezultă să instanţa a fost în imposibilitate de a administra proba cu expertiză şi de a verifica motivele de nelegalitate invocate de reclamantă referitoare la corectitudinea datelor care au stat la baza centralizării consumului de medicamente (a valorii vânzărilor), în lipsa datelor primare pe baza cărora s-au înregistrat datele centralizate de către CNAS. Sentinţa a fost menţinută în totalitate de Înalta Curte de Casație și Justiție-Secția de contencios administrativ și fiscal, prin decizia nr. 87/2016.</w:t>
      </w:r>
    </w:p>
    <w:p w14:paraId="4C55A0D3"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Or, prin adresa nr. P8113/29.09.2016. CNAS a comunicat din nou valorile VTt, Vit, VT2011 şi Vi2011 necesare calculului şi declarării contribuţiei aferente trimestrului III 2012, cu încălcarea flagrantă a autorităţii de lucru judecat a celor două hotărâri anterioare (pe care pretinde că le-a pus în executare). Încălcarea puterii de lucru judecat a fost corect constatată de instanţa de fond întrucât prin hotărârile anterioare s-a reţinut existenţa mai multor nereguli, care nu permit emiterea unui nou act, cu reiterarea aspectelor deja invalidate de instanţele de judecată. CNAS nu putea proceda la recomunicarea datelor în aceeaşi modalitate şi formă, deja infirmată pe cale judecătorească. Neregulile reţinute ţin de fondul actelor administrative anulate iar pentru recomunicarea datelor pârâta trebuia să respecte toate motivele reţinute prin hotărârile judecătoreşti anterioare.</w:t>
      </w:r>
    </w:p>
    <w:p w14:paraId="0C079546"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lastRenderedPageBreak/>
        <w:t>Odată cu anularea notificării iniţiale aferente trimestrului III 2012 instanţele au reţinut în mod definitiv că acestea au fost emise nelegal, motiv pentru care datele comunicate nu mai pot fi impuse reclamantei. Prin urmare, măsura de a elimina în mod arbitrar o parte a consumului, în timp ce o altă parte este recomunicată cu încălcarea hotărârilor judecătoreşti referitoare la imposibilitatea justificării acestui consum, este vădit nelegală şi reprezintă o încălcare a obligaţiilor recurentei-pârâte de a pune în executare în totalitate hotărârile judecătoreşti.</w:t>
      </w:r>
    </w:p>
    <w:p w14:paraId="19F65102"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Înalta Curte a reţinut în cauze similare că lipsa documentaţiei care să permită instanţei verificarea legalităţii calculului efectuat de CNAS nu poate rămâne nesancţionată întrucât ar deschide calea abuzului de drept.</w:t>
      </w:r>
    </w:p>
    <w:p w14:paraId="198E8482"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Prin hotărârile judecătoreşti menţionate s-a stabilit că, în lipsa comunicării unor date concrete şi a documentaţiei avute în vedere la emiterea notificării, nu se poate verifica efectiv corectitudinea elementelor de calcul, dar şi că notificările nu conţin un minim de elemente de fapt şi de drept care să facă posibilă exercitarea controlului efectiv asupra modului în care a fost stabilită baza de calcul a contribuţiei, ceea ce atrage încălcarea principiului certitudinii impunerii.</w:t>
      </w:r>
    </w:p>
    <w:p w14:paraId="0B7E2D58"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Noua notificare nu conţine elementele de fapt şi de drept care să facă posibilă exercitarea unui control efectiv asupra modului în care a fost stabilită baza de calcul a contribuţiei, ci cuprinde aceleaşi date centralizate a căror realitate nu poate fi verificată din cauza lipsei datelor primare pe care  s-au fundamentat.</w:t>
      </w:r>
    </w:p>
    <w:p w14:paraId="029E52B4"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În concluzie, în mod corect prima instanţă a constatat încălcarea puterii de lucru judecat, iar enumerarea de către recurenta-pârâtă a deciziilor Curţii Constituţionale pronunţate în soluţionarea excepţiilor de neconstituţionalitate a unor prevederi din cuprinsul OUG nr. 77/2011 nu o exonerează de respectarea obligaţiilor stabilite prin hotărârile judecătoreşti, respectiv de a emite acte administrative motivate în fapt şi în drept.</w:t>
      </w:r>
    </w:p>
    <w:bookmarkEnd w:id="34"/>
    <w:p w14:paraId="0ED76CAE" w14:textId="77777777" w:rsidR="005B15DC" w:rsidRPr="00250C7F" w:rsidRDefault="005B15DC" w:rsidP="00891584">
      <w:pPr>
        <w:spacing w:after="0" w:line="276" w:lineRule="auto"/>
        <w:ind w:firstLine="709"/>
        <w:jc w:val="both"/>
        <w:rPr>
          <w:rFonts w:ascii="Times New Roman" w:eastAsia="Times New Roman" w:hAnsi="Times New Roman" w:cs="Times New Roman"/>
          <w:bCs/>
          <w:i/>
          <w:sz w:val="24"/>
          <w:szCs w:val="24"/>
        </w:rPr>
      </w:pPr>
      <w:r w:rsidRPr="00250C7F">
        <w:rPr>
          <w:rFonts w:ascii="Times New Roman" w:eastAsia="Times New Roman" w:hAnsi="Times New Roman" w:cs="Times New Roman"/>
          <w:bCs/>
          <w:i/>
          <w:sz w:val="24"/>
          <w:szCs w:val="24"/>
        </w:rPr>
        <w:t>5. Procedura de soluţionare a recursului</w:t>
      </w:r>
    </w:p>
    <w:p w14:paraId="797105E8" w14:textId="77777777" w:rsidR="005B15DC" w:rsidRPr="00250C7F" w:rsidRDefault="005B15DC" w:rsidP="00891584">
      <w:pPr>
        <w:spacing w:after="0" w:line="276" w:lineRule="auto"/>
        <w:ind w:firstLine="709"/>
        <w:contextualSpacing/>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Prin rezoluţia din 23 noiembrie 2018 a fost fixat termen de judecată pentru soluţionarea recursului în şedinţă publică, la data de 8 aprilie 2020, cu citarea părţilor, fără a se mai parcurge procedura de filtrare a recursului, având în vedere Hotărârea Colegiului de Conducere nr. 106 din 20 septembrie 2018, prin care s-a luat act de hotărârea Plenului judecătorilor Secţiei de contencios administrativ şi fiscal a Înaltei Curţi de Casaţie şi Justiţie adoptată la data de 13 septembrie 2018, în sensul că procedura de filtrare a recursurilor, reglementată prin dispoziţiile art. 493 Cod procedură civilă, este incompatibilă cu specificul domeniului contenciosului administrativ şi fiscal, precum şi Hotărârea Colegiului de Conducere nr. 109 din data de 20 septembrie 2018. La termenul menţionat, cauza a fost suspendată de drept, conform art. 42 alin. (6) din Decretul Preşedintelui României nr. 195/2020 şi, apoi,  repusă pe rol, cu termen la 15.07.2020.</w:t>
      </w:r>
    </w:p>
    <w:p w14:paraId="7FFC9D0C" w14:textId="77777777" w:rsidR="005B15DC" w:rsidRPr="00250C7F" w:rsidRDefault="005B15DC" w:rsidP="00891584">
      <w:pPr>
        <w:spacing w:after="0" w:line="276" w:lineRule="auto"/>
        <w:ind w:firstLine="709"/>
        <w:jc w:val="both"/>
        <w:rPr>
          <w:rFonts w:ascii="Times New Roman" w:eastAsia="Times New Roman" w:hAnsi="Times New Roman" w:cs="Times New Roman"/>
          <w:b/>
          <w:sz w:val="24"/>
          <w:szCs w:val="24"/>
        </w:rPr>
      </w:pPr>
      <w:r w:rsidRPr="00250C7F">
        <w:rPr>
          <w:rFonts w:ascii="Times New Roman" w:eastAsia="Times New Roman" w:hAnsi="Times New Roman" w:cs="Times New Roman"/>
          <w:b/>
          <w:sz w:val="24"/>
          <w:szCs w:val="24"/>
        </w:rPr>
        <w:t>II. Soluţia instanţei de recurs</w:t>
      </w:r>
    </w:p>
    <w:p w14:paraId="1921DAA9"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Analizând recursul prin prisma criticilor invocate, Înalta Curte îl constată fondat pentru următoarele motive:</w:t>
      </w:r>
    </w:p>
    <w:p w14:paraId="42CE3E44" w14:textId="77777777" w:rsidR="005B15DC" w:rsidRPr="00250C7F" w:rsidRDefault="005B15DC" w:rsidP="00891584">
      <w:pPr>
        <w:spacing w:after="0" w:line="276" w:lineRule="auto"/>
        <w:ind w:firstLine="709"/>
        <w:jc w:val="both"/>
        <w:rPr>
          <w:rFonts w:ascii="Times New Roman" w:eastAsia="Times New Roman" w:hAnsi="Times New Roman" w:cs="Times New Roman"/>
          <w:i/>
          <w:sz w:val="24"/>
          <w:szCs w:val="24"/>
        </w:rPr>
      </w:pPr>
      <w:r w:rsidRPr="00250C7F">
        <w:rPr>
          <w:rFonts w:ascii="Times New Roman" w:eastAsia="Times New Roman" w:hAnsi="Times New Roman" w:cs="Times New Roman"/>
          <w:i/>
          <w:sz w:val="24"/>
          <w:szCs w:val="24"/>
        </w:rPr>
        <w:t>1. Argumente de fapt şi de drept relevante</w:t>
      </w:r>
    </w:p>
    <w:p w14:paraId="7D378B5E"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Intimata-reclamantă a învestit instanţa de fond cu cererea de anulare a adresei nr. P8113/29.09.2016 emisă de CNAS, prin care au fost recomunicate intimatei-reclamante datele (valorile) necesare pentru calculul şi declararea contribuţiei trimestriale prevăzute de OUG nr. 77/2011 aferente trimestrului III 2012.</w:t>
      </w:r>
    </w:p>
    <w:p w14:paraId="56EA9F17"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Pentru acelaşi trimestru, autoritatea recurentă-pârâtă a emis anterior notificările nr. MS/FD/2412/31.10.2012 şi MS/FD/2593/07.12.2012, care însă au fost anulate prin sentinţa civilă </w:t>
      </w:r>
      <w:r w:rsidRPr="00250C7F">
        <w:rPr>
          <w:rFonts w:ascii="Times New Roman" w:eastAsia="Times New Roman" w:hAnsi="Times New Roman" w:cs="Times New Roman"/>
          <w:sz w:val="24"/>
          <w:szCs w:val="24"/>
        </w:rPr>
        <w:lastRenderedPageBreak/>
        <w:t>nr. 1594/21.05.2014 a Curţii de Apel București-Secția a VIII-a contencios administrativ și fiscal, rămasă definitivă prin decizia nr. 87/22.01.2016 a ÎCCJ-SCAF.</w:t>
      </w:r>
    </w:p>
    <w:p w14:paraId="01E61EA2"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Intimata-reclamantă a solicitat instanţei de fond anularea noii notificări pentru două motive de nelegalitate: primul este cel referitor la încălcarea autorităţii de lucru judecat a hotărârilor judecătoreşti anterior menţionate, iar cel de al doilea este constatarea decăderii autorităţii pârâte din dreptul de a mai comunica datele necesare stabilirii, calculului şi declarării contribuţiei aferente trimestrului III 2012.</w:t>
      </w:r>
    </w:p>
    <w:p w14:paraId="7431E831"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Instanţa de fond a primit primul motiv de nelegalitate, pe baza căruia a admis cererea şi a anulat adresa nr. P/8113/29.09.2016 a CNAS şi a respins cel de al doilea motiv de nelegalitate, reţinând în mod expres caracterul lui netemeinic.</w:t>
      </w:r>
    </w:p>
    <w:p w14:paraId="39A59A9C"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Cât priveşte motivul de nelegalitate primit, instanţa de fond s-a raportat la considerentele sentinţei nr. 1594/2014 şi ale deciziei nr. 87/2016 şi a reţinut că pârâta a nesocotit puterea de lucru judecat a hotărârii judecătoreşti definitive, prin care s-a statuat, în esenţă, că notificările emise în anul 2012 nu conţin elementele de fapt şi de drept care să facă posibilă exercitarea unui control efectiv asupra modului în care a fost stabilită baza de calcul a contribuţiei clawback. Astfel, notificarea contestată are aceeaşi formă, conţinând tot date centralizate, a căror realitate nu poate fi verificată din cauza lipsei datelor primare pe care s-au fundamentat. Apărările pârâtei potrivit cărora notificarea este emisă în conformitate cu prevederile OUG nr.77/2011, CNAS neputând interveni asupra mecanismului de raportare a consumului de medicamente, au fost înlăturate cu motivarea că hotărârea judecătorească anterioară este prezumată a exprima adevărul şi nu trebuie să fie contrazisă de altă hotărâre. De asemenea, instanţa a reţinut că obligaţiile stabilite în sarcina autorităţii pârâte prin intermediul hotărârii judecătoreşti definitive nu mai pot fi puse ulterior în discuţie de partea căreia acestea îi incumbă, pentru că s-ar încălca puterea de lucru judecat.</w:t>
      </w:r>
    </w:p>
    <w:p w14:paraId="2129385A"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Înalta Curte constată că recursul CNAS, întemeiat pe cazul de casare prevăzut de art. 488 alin.(1) pct.8 Cod procedură civilă, este fondat, prima instanţă  reţinând greşit încălcarea autorităţii de lucru judecat a sentinţei civile nr. 1594/2014, rămasă definitivă prin decizia nr. 87/2016.</w:t>
      </w:r>
    </w:p>
    <w:p w14:paraId="45639AD4"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Prin sentinţa civilă nr. 1594/2014 au fost respinse motivele de nelegalitate referitoare la nemotivarea în fapt şi în drept a notificărilor şi caracterul excesiv al contribuţiei prevăzute de OUG nr. 77/2011. În schimb, instanţa a constatat că reclamanta a invocat o dublă impozitare (determinată de includerea în datele comunicate şi a unor produse vândute anterior datei de 1.01.2011- când a intrat în vigoare OUG nr. 77/2011) şi că nu poate verifica susţinerile reclamantei, pe calea unei expertize, întrucât autoritatea pârâtă nu a comunicat datele complete pe baza cărora să se poată stabili dacă un anumit medicament consumat în trimestrul III 2012 a fost vândut de deţinătorii de autorizaţii de punere pe piaţă reprezentaţi de reclamantă către distribuitori anterior intrării în vigoare a OUG nr. 77/2011, respectiv în perioada în care erau în vigoare dispoziţiile art. 363</w:t>
      </w:r>
      <w:r w:rsidRPr="00250C7F">
        <w:rPr>
          <w:rFonts w:ascii="Times New Roman" w:eastAsia="Times New Roman" w:hAnsi="Times New Roman" w:cs="Times New Roman"/>
          <w:sz w:val="24"/>
          <w:szCs w:val="24"/>
          <w:vertAlign w:val="superscript"/>
        </w:rPr>
        <w:t>1</w:t>
      </w:r>
      <w:r w:rsidRPr="00250C7F">
        <w:rPr>
          <w:rFonts w:ascii="Times New Roman" w:eastAsia="Times New Roman" w:hAnsi="Times New Roman" w:cs="Times New Roman"/>
          <w:sz w:val="24"/>
          <w:szCs w:val="24"/>
        </w:rPr>
        <w:t xml:space="preserve"> din Legea nr. 95/2006, perioadă pentru care reclamanta a achitat o altă contribuţie. A mai reţinut instanţa că, tot în lipsa comunicării datelor primare, nu poate fi verificat nici motivul de nelegalitate invocat de reclamantă referitor la includerea în baza de impunere a valorii unor medicamente necomercializate sau comercializate la o valoare mai mică decât cea comunicată de pârâtă.</w:t>
      </w:r>
    </w:p>
    <w:p w14:paraId="19379175"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Cu alte cuvinte, un prim motiv pentru care instanţa a anulat notificările iniţiale referitoare la trimestrul III al anului 2012 l-a constituit impedimentul procedural de a exercita un control efectiv asupra motivelor de nelegalitate invocate de reclamantă referitoare la valoarea vânzărilor, </w:t>
      </w:r>
      <w:r w:rsidRPr="00250C7F">
        <w:rPr>
          <w:rFonts w:ascii="Times New Roman" w:eastAsia="Times New Roman" w:hAnsi="Times New Roman" w:cs="Times New Roman"/>
          <w:sz w:val="24"/>
          <w:szCs w:val="24"/>
        </w:rPr>
        <w:lastRenderedPageBreak/>
        <w:t>în lipsa punerii la dispoziţie de către pârâtă a datelor primare care au stat la baza valorilor centralizate comunicate. Practic, expertiza dispusă nu a putut fi realizată, expertul neputând răspunde obiectivelor încuviinţate, în lipsa prezentării documentaţiei primare.</w:t>
      </w:r>
    </w:p>
    <w:p w14:paraId="03D3F233"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Cel de-al doilea motiv de nelegalitate care a condus la anularea notificărilor emise în 2012 a fost includerea în valorile comunicate a taxei pe valoarea adăugată, în condiţiile în care Curtea Constituţională declarase deja neconstituţionalitatea art. 3</w:t>
      </w:r>
      <w:r w:rsidRPr="00250C7F">
        <w:rPr>
          <w:rFonts w:ascii="Times New Roman" w:eastAsia="Times New Roman" w:hAnsi="Times New Roman" w:cs="Times New Roman"/>
          <w:sz w:val="24"/>
          <w:szCs w:val="24"/>
          <w:vertAlign w:val="superscript"/>
        </w:rPr>
        <w:t>1</w:t>
      </w:r>
      <w:r w:rsidRPr="00250C7F">
        <w:rPr>
          <w:rFonts w:ascii="Times New Roman" w:eastAsia="Times New Roman" w:hAnsi="Times New Roman" w:cs="Times New Roman"/>
          <w:sz w:val="24"/>
          <w:szCs w:val="24"/>
        </w:rPr>
        <w:t xml:space="preserve"> alin.(5) din OUG nr. 77/2011, constatând că sintagma „care include şi taxa pe valoarea adăugată” este neconstituţională. Prin urmare, instanţa a constatat că includerea în valoarea vânzărilor menţionate în notificări a TVA este nelegală, fiind făcută în baza unui text de lege declarat neconstituţional.</w:t>
      </w:r>
    </w:p>
    <w:p w14:paraId="74FF46F2"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Prin notificarea a cărei anulare se cere în prezenta cauză, nr. P8113/29.09.2016, CNAS comunică valorile necesare declarării şi plăţii contribuţiei aferente trimestrului III 2012, fără includerea TVA, respectând astfel cele din urmă considerente care au condus la anularea notificării anterioare.</w:t>
      </w:r>
    </w:p>
    <w:p w14:paraId="0051A981"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Instanţa de fond a reţinut, însă, că autoritatea pârâtă nu putea proceda la recomunicarea datelor necesare calculării contribuţiei aferente trimestrului III 2012 în aceeaşi modalitate/formă (adică, numai valorile centralizate, fără comunicarea documentaţiei primare pe care se sprijină) pentru că aceasta a fost deja infirmată prin hotărârile anterioare. </w:t>
      </w:r>
    </w:p>
    <w:p w14:paraId="57E06971"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Cu alte cuvinte, instanţa de fond a apreciat că recomunicarea datelor ar presupune, cu respectarea autorităţii de lucru judecat a hotărârilor judecătoreşti anterioare, comunicarea datelor primare care au stat la baza valorilor centralizate.</w:t>
      </w:r>
    </w:p>
    <w:p w14:paraId="5739FB01"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Această interpretare a considerentelor sentinţei civile nr.1594/2014 este greşită. Prin această sentinţă, dimpotrivă, a fost înlăturat motivul de nelegalitate referitor la nemotivarea în fapt şi în drept a notificărilor, reţinându-se că acestea sunt motivate, raportat la cadrul legal aplicabil, şi anume OUG nr. 77/2011. </w:t>
      </w:r>
    </w:p>
    <w:p w14:paraId="665F2D41"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Motivul anulării notificărilor a fost acela al imposibilităţii, din culpa autorităţii pârâte, a efectivei analizări a unor critici ale reclamantei la adresa valorilor comunicate.</w:t>
      </w:r>
    </w:p>
    <w:p w14:paraId="6C57F2EC"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Or, un astfel de motiv de nelegalitate valorificat în litigiul anterior nu poate fi opus cu putere de lucru judecat în cauza care priveşte noua notificare întrucât el priveşte un aspect procesual particular al cauzei deduse judecăţii anterior, iar nu o chestiune factuală sau de drept tranşată şi care să se opună cu putere de lucru judecat în noul litigiu.</w:t>
      </w:r>
    </w:p>
    <w:p w14:paraId="050F3F8C"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Recurenta-pârâtă susţine în mod corect că noua notificare respectă cadrul normativ întrucât, în conformitate cu prevederile art. 5 alin. (7) din OUG nr. 77/2011, CNAS are obligaţia de a comunica datele centralizate pe baza sistemului de raportare a consumului de medicamente instituit prin actul normativ, iar nu obligaţia de a comunica datele primare care au stat la baza raportării. </w:t>
      </w:r>
    </w:p>
    <w:p w14:paraId="3505A26B"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Sistemul de raportare prevăzut de actul normativ şi modalitatea de comunicare a datelor centralizate au făcut şi obiectul controlului de constituţionalitate, Curtea Constituţională reţinând caracterul conform cu legea supremă al modului de raportare şi comunicare a datelor necesare calculului contribuţiei trimestriale (deciziile nr. 144/2015, 789/2015). Din această perspectivă, recurenta-pârâtă s-a referit fondat la aceste decizii ale Curţii Constituţionale, care vin să confirme că obligaţia de motivare în fapt şi în drept a actului administrativ supus controlului de legalitate în prezenta cauză trebuie raportată la normele de drept substanţial care reglementează modalitatea de raportare şi comunicare a datelor.</w:t>
      </w:r>
    </w:p>
    <w:p w14:paraId="3434C46E"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lastRenderedPageBreak/>
        <w:t>Îndeplinirea obligaţiei de motivare a actului administrativ trebuie analizată în contextul legislativ în baza căruia actul este emis, iar în speţă nu s-ar putea cere CNAS să comunice fiecărui contribuabil (deţinător de autorizaţie de punere pe piaţă sau rerezentant al acestuia) datele primare pe baza cărora s-au centralizat consumurile din fiecare trimestru pentru că aceasta ar fi o sarcină excesivă, disproporţionată, pusă pe seama administraţiei publice şi care ar împiedica însăşi producerea efectelor OUG nr. 77/2011, care instituie obligaţia de plată a contribuţiei clawback.</w:t>
      </w:r>
    </w:p>
    <w:p w14:paraId="67607677"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Este adevărat că, din perspectiva principiului certitudinii impunerii (la care s-a referit şi decizia civilă nr. 87/2016), criticile contribuabilului la adresa bazei de calcul a contribuţiei trebuie să poată fi analizate efectiv, iar neprezentarea datelor primare pe care se constituie baza de calcul poate conduce la anularea actului, însă pentru aplicarea acestui principiu este necesar ca instanţa să fie învestită cu critici de nelegalitate referitoare la baza impozabilă, aşa cum s-a întâmplat în cazul litigiului precedent, dar nu este cazul în pricina de faţă.</w:t>
      </w:r>
    </w:p>
    <w:p w14:paraId="7AADB082" w14:textId="77777777" w:rsidR="005B15DC" w:rsidRPr="00250C7F" w:rsidRDefault="005B15DC" w:rsidP="00891584">
      <w:pPr>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Susţinerile intimatei-reclamante potrivit cărora datele referitoare la valoarea vânzărilor nu ar putea fi recomunicate pentru că în litigiul anterior s-a constatat imposibilitatea justificării acestei valori sunt nefondate. Ele denaturează considerentele hotărârii judecătoreşti anterioare, în care nu s-a reţinut un astfel de motiv de nelegalitate a actului administrativ, ci s-a reţinut că nu se poate verifica justificarea valorii vânzărilor.</w:t>
      </w:r>
    </w:p>
    <w:p w14:paraId="74596009" w14:textId="77777777" w:rsidR="005B15DC" w:rsidRPr="00250C7F" w:rsidRDefault="005B15DC" w:rsidP="00891584">
      <w:pPr>
        <w:spacing w:after="0" w:line="276" w:lineRule="auto"/>
        <w:ind w:firstLine="709"/>
        <w:jc w:val="both"/>
        <w:rPr>
          <w:rFonts w:ascii="Times New Roman" w:eastAsia="Times New Roman" w:hAnsi="Times New Roman" w:cs="Times New Roman"/>
          <w:i/>
          <w:sz w:val="24"/>
          <w:szCs w:val="24"/>
        </w:rPr>
      </w:pPr>
      <w:r w:rsidRPr="00250C7F">
        <w:rPr>
          <w:rFonts w:ascii="Times New Roman" w:eastAsia="Times New Roman" w:hAnsi="Times New Roman" w:cs="Times New Roman"/>
          <w:i/>
          <w:sz w:val="24"/>
          <w:szCs w:val="24"/>
        </w:rPr>
        <w:t>2. Temeiul legal al soluţiei adoptate în recurs</w:t>
      </w:r>
    </w:p>
    <w:p w14:paraId="23C6405E" w14:textId="77777777" w:rsidR="005B15DC" w:rsidRPr="00250C7F" w:rsidRDefault="005B15DC" w:rsidP="00891584">
      <w:pPr>
        <w:spacing w:after="0" w:line="276" w:lineRule="auto"/>
        <w:ind w:firstLine="709"/>
        <w:contextualSpacing/>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Pentru acest motive, în temeiul art. 496 raportat la art. 488 alin.(1) pct.8 Cod procedură civilă, În</w:t>
      </w:r>
      <w:r w:rsidRPr="00250C7F">
        <w:rPr>
          <w:rFonts w:ascii="Times New Roman" w:hAnsi="Times New Roman" w:cs="Times New Roman"/>
          <w:sz w:val="24"/>
          <w:szCs w:val="24"/>
        </w:rPr>
        <w:t xml:space="preserve">alta Curte va admite recursul, </w:t>
      </w:r>
      <w:r w:rsidRPr="00250C7F">
        <w:rPr>
          <w:rFonts w:ascii="Times New Roman" w:eastAsia="Times New Roman" w:hAnsi="Times New Roman" w:cs="Times New Roman"/>
          <w:sz w:val="24"/>
          <w:szCs w:val="24"/>
        </w:rPr>
        <w:t>a casa</w:t>
      </w:r>
      <w:r w:rsidRPr="00250C7F">
        <w:rPr>
          <w:rFonts w:ascii="Times New Roman" w:hAnsi="Times New Roman" w:cs="Times New Roman"/>
          <w:sz w:val="24"/>
          <w:szCs w:val="24"/>
        </w:rPr>
        <w:t xml:space="preserve">t </w:t>
      </w:r>
      <w:r w:rsidRPr="00250C7F">
        <w:rPr>
          <w:rFonts w:ascii="Times New Roman" w:eastAsia="Times New Roman" w:hAnsi="Times New Roman" w:cs="Times New Roman"/>
          <w:sz w:val="24"/>
          <w:szCs w:val="24"/>
        </w:rPr>
        <w:t>sentinţa civilă atacată şi, rejudecând, a respin</w:t>
      </w:r>
      <w:r w:rsidRPr="00250C7F">
        <w:rPr>
          <w:rFonts w:ascii="Times New Roman" w:hAnsi="Times New Roman" w:cs="Times New Roman"/>
          <w:sz w:val="24"/>
          <w:szCs w:val="24"/>
        </w:rPr>
        <w:t>s</w:t>
      </w:r>
      <w:r w:rsidRPr="00250C7F">
        <w:rPr>
          <w:rFonts w:ascii="Times New Roman" w:eastAsia="Times New Roman" w:hAnsi="Times New Roman" w:cs="Times New Roman"/>
          <w:sz w:val="24"/>
          <w:szCs w:val="24"/>
        </w:rPr>
        <w:t xml:space="preserve"> cererea de chemare în judecată formulată de reclamanta </w:t>
      </w:r>
      <w:r w:rsidRPr="00250C7F">
        <w:rPr>
          <w:rFonts w:ascii="Times New Roman" w:hAnsi="Times New Roman" w:cs="Times New Roman"/>
          <w:sz w:val="24"/>
          <w:szCs w:val="24"/>
        </w:rPr>
        <w:t>“A”</w:t>
      </w:r>
      <w:r w:rsidRPr="00250C7F">
        <w:rPr>
          <w:rFonts w:ascii="Times New Roman" w:eastAsia="Times New Roman" w:hAnsi="Times New Roman" w:cs="Times New Roman"/>
          <w:sz w:val="24"/>
          <w:szCs w:val="24"/>
        </w:rPr>
        <w:t xml:space="preserve"> România S.R.L., ca neîntemeiată.</w:t>
      </w:r>
    </w:p>
    <w:p w14:paraId="07A01CCF" w14:textId="263682A2" w:rsidR="005B15DC" w:rsidRPr="00250C7F" w:rsidRDefault="005B15DC" w:rsidP="00891584">
      <w:pPr>
        <w:spacing w:after="0" w:line="276" w:lineRule="auto"/>
        <w:ind w:firstLine="709"/>
        <w:contextualSpacing/>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Intimata-reclamantă prin apărătorul său, în cadrul concluziilor orale asupra recursului, a arătat că, în situaţia admiterii recursului pârâtei, s-ar impune casarea sentinţei cu trimiterea cauzei spre rejudecare pentru verificări concrete asupra valorilor vânzărilor recomunicate. Aceste susţineri nu pot fi primite, dat fiind cadrul procesual obiectiv al cauzei, respectiv motivele de nelegalitate cu care reclamanta a învestit prima instanţă. Acestea s-au restrâns la cele două argumente enunţate anterior în prezentele considerente, dintre care unul a fost respins de instanţa de fond şi nu face obiectul recursului, iar celălalt a fost admis de instanţa de fond şi este reformat prin prezenta decizie.</w:t>
      </w:r>
    </w:p>
    <w:p w14:paraId="384A4F55" w14:textId="73F3FF5C" w:rsidR="00DC6919" w:rsidRPr="00250C7F" w:rsidRDefault="00DC6919" w:rsidP="00C7648A">
      <w:pPr>
        <w:spacing w:after="0" w:line="276" w:lineRule="auto"/>
        <w:contextualSpacing/>
        <w:jc w:val="both"/>
        <w:rPr>
          <w:rFonts w:ascii="Times New Roman" w:eastAsia="Times New Roman" w:hAnsi="Times New Roman" w:cs="Times New Roman"/>
          <w:sz w:val="24"/>
          <w:szCs w:val="24"/>
        </w:rPr>
      </w:pPr>
    </w:p>
    <w:p w14:paraId="12751BD2" w14:textId="2DA7DF26" w:rsidR="00DC6919" w:rsidRPr="009E2D2C" w:rsidRDefault="00DC6919" w:rsidP="009E2D2C">
      <w:pPr>
        <w:pStyle w:val="Heading3"/>
        <w:spacing w:line="276" w:lineRule="auto"/>
        <w:jc w:val="both"/>
        <w:rPr>
          <w:rFonts w:ascii="Times New Roman" w:hAnsi="Times New Roman"/>
          <w:b/>
          <w:color w:val="auto"/>
        </w:rPr>
      </w:pPr>
      <w:bookmarkStart w:id="35" w:name="_Toc84584818"/>
      <w:r w:rsidRPr="00250C7F">
        <w:rPr>
          <w:rFonts w:ascii="Times New Roman" w:hAnsi="Times New Roman"/>
          <w:b/>
          <w:color w:val="auto"/>
        </w:rPr>
        <w:t xml:space="preserve">3. Impozitarea produselor energetice și a electricității. Regimul accizării energiei electrice utilizate pentru producția combinată de energie electrică şi energie termică. </w:t>
      </w:r>
      <w:r w:rsidR="00C7648A" w:rsidRPr="00250C7F">
        <w:rPr>
          <w:rFonts w:ascii="Times New Roman" w:hAnsi="Times New Roman"/>
          <w:b/>
          <w:color w:val="auto"/>
        </w:rPr>
        <w:t xml:space="preserve">Deosebire </w:t>
      </w:r>
      <w:r w:rsidRPr="00250C7F">
        <w:rPr>
          <w:rFonts w:ascii="Times New Roman" w:hAnsi="Times New Roman"/>
          <w:b/>
          <w:color w:val="auto"/>
        </w:rPr>
        <w:t xml:space="preserve">de tratament </w:t>
      </w:r>
      <w:r w:rsidR="00C7648A" w:rsidRPr="00250C7F">
        <w:rPr>
          <w:rFonts w:ascii="Times New Roman" w:hAnsi="Times New Roman"/>
          <w:b/>
          <w:color w:val="auto"/>
        </w:rPr>
        <w:t>între</w:t>
      </w:r>
      <w:r w:rsidRPr="00250C7F">
        <w:rPr>
          <w:rFonts w:ascii="Times New Roman" w:hAnsi="Times New Roman"/>
          <w:b/>
          <w:color w:val="auto"/>
        </w:rPr>
        <w:t xml:space="preserve"> operatorii economici care efectuează achiziţii intraco</w:t>
      </w:r>
      <w:r w:rsidR="009E2D2C">
        <w:rPr>
          <w:rFonts w:ascii="Times New Roman" w:hAnsi="Times New Roman"/>
          <w:b/>
          <w:color w:val="auto"/>
        </w:rPr>
        <w:t xml:space="preserve">munitare </w:t>
      </w:r>
      <w:r w:rsidR="00A42318">
        <w:rPr>
          <w:rFonts w:ascii="Times New Roman" w:hAnsi="Times New Roman"/>
          <w:b/>
          <w:color w:val="auto"/>
        </w:rPr>
        <w:t>sau importuri din sta</w:t>
      </w:r>
      <w:r w:rsidRPr="00250C7F">
        <w:rPr>
          <w:rFonts w:ascii="Times New Roman" w:hAnsi="Times New Roman"/>
          <w:b/>
          <w:color w:val="auto"/>
        </w:rPr>
        <w:t xml:space="preserve">te terţe, nemembre UE, </w:t>
      </w:r>
      <w:r w:rsidR="00C7648A" w:rsidRPr="00250C7F">
        <w:rPr>
          <w:rFonts w:ascii="Times New Roman" w:hAnsi="Times New Roman"/>
          <w:b/>
          <w:color w:val="auto"/>
        </w:rPr>
        <w:t>şi</w:t>
      </w:r>
      <w:r w:rsidRPr="00250C7F">
        <w:rPr>
          <w:rFonts w:ascii="Times New Roman" w:hAnsi="Times New Roman"/>
          <w:b/>
          <w:color w:val="auto"/>
        </w:rPr>
        <w:t xml:space="preserve"> operatorii economici care achiziţionează astfe</w:t>
      </w:r>
      <w:r w:rsidR="00250C7F">
        <w:rPr>
          <w:rFonts w:ascii="Times New Roman" w:hAnsi="Times New Roman"/>
          <w:b/>
          <w:color w:val="auto"/>
        </w:rPr>
        <w:t xml:space="preserve">l de produse pe plan naţional. </w:t>
      </w:r>
      <w:r w:rsidR="00C7648A" w:rsidRPr="00250C7F">
        <w:rPr>
          <w:rFonts w:ascii="Times New Roman" w:hAnsi="Times New Roman"/>
          <w:b/>
          <w:color w:val="auto"/>
        </w:rPr>
        <w:t xml:space="preserve">Nelegalitate. </w:t>
      </w:r>
      <w:r w:rsidR="009E2D2C">
        <w:rPr>
          <w:rFonts w:ascii="Times New Roman" w:hAnsi="Times New Roman"/>
          <w:b/>
          <w:color w:val="auto"/>
        </w:rPr>
        <w:t>Principiile</w:t>
      </w:r>
      <w:r w:rsidR="009E2D2C" w:rsidRPr="00250C7F">
        <w:rPr>
          <w:rFonts w:ascii="Times New Roman" w:hAnsi="Times New Roman"/>
          <w:b/>
          <w:color w:val="auto"/>
        </w:rPr>
        <w:t xml:space="preserve"> </w:t>
      </w:r>
      <w:r w:rsidRPr="00250C7F">
        <w:rPr>
          <w:rFonts w:ascii="Times New Roman" w:hAnsi="Times New Roman"/>
          <w:b/>
          <w:color w:val="auto"/>
        </w:rPr>
        <w:t>liberei concurențe în economia de piață. Acț</w:t>
      </w:r>
      <w:r w:rsidR="009E2D2C">
        <w:rPr>
          <w:rFonts w:ascii="Times New Roman" w:hAnsi="Times New Roman"/>
          <w:b/>
          <w:color w:val="auto"/>
        </w:rPr>
        <w:t xml:space="preserve">iune având ca obiect anularea </w:t>
      </w:r>
      <w:r w:rsidRPr="00250C7F">
        <w:rPr>
          <w:rFonts w:ascii="Times New Roman" w:hAnsi="Times New Roman"/>
          <w:b/>
          <w:color w:val="auto"/>
        </w:rPr>
        <w:t>punctul</w:t>
      </w:r>
      <w:r w:rsidR="009E2D2C">
        <w:rPr>
          <w:rFonts w:ascii="Times New Roman" w:hAnsi="Times New Roman"/>
          <w:b/>
          <w:color w:val="auto"/>
        </w:rPr>
        <w:t>ui</w:t>
      </w:r>
      <w:r w:rsidRPr="00250C7F">
        <w:rPr>
          <w:rFonts w:ascii="Times New Roman" w:hAnsi="Times New Roman"/>
          <w:b/>
          <w:color w:val="auto"/>
        </w:rPr>
        <w:t xml:space="preserve"> 94 alin. (1) lit. c) din </w:t>
      </w:r>
      <w:r w:rsidR="009E2D2C" w:rsidRPr="009E2D2C">
        <w:rPr>
          <w:rFonts w:ascii="Times New Roman" w:hAnsi="Times New Roman"/>
          <w:b/>
          <w:color w:val="auto"/>
        </w:rPr>
        <w:t>Normelor metodologice de aplicare a Legii nr. 227/2015 privind Codul fiscal</w:t>
      </w:r>
      <w:r w:rsidR="009E2D2C">
        <w:rPr>
          <w:rFonts w:ascii="Times New Roman" w:hAnsi="Times New Roman"/>
          <w:b/>
          <w:color w:val="auto"/>
        </w:rPr>
        <w:t>, aprobate prin HG nr. 1/2016.</w:t>
      </w:r>
      <w:bookmarkEnd w:id="35"/>
    </w:p>
    <w:p w14:paraId="67BE2188" w14:textId="77777777" w:rsidR="00C7648A" w:rsidRPr="00250C7F" w:rsidRDefault="00C7648A" w:rsidP="00C7648A"/>
    <w:p w14:paraId="31B91571" w14:textId="77777777" w:rsidR="00DC6919" w:rsidRPr="00250C7F" w:rsidRDefault="00DC6919" w:rsidP="00DC6919">
      <w:pPr>
        <w:spacing w:after="0" w:line="276" w:lineRule="auto"/>
        <w:ind w:firstLine="720"/>
        <w:jc w:val="right"/>
        <w:rPr>
          <w:rFonts w:ascii="Times New Roman" w:hAnsi="Times New Roman"/>
          <w:sz w:val="24"/>
          <w:szCs w:val="24"/>
        </w:rPr>
      </w:pPr>
      <w:r w:rsidRPr="00250C7F">
        <w:rPr>
          <w:rFonts w:ascii="Times New Roman" w:hAnsi="Times New Roman"/>
          <w:sz w:val="24"/>
          <w:szCs w:val="24"/>
        </w:rPr>
        <w:t xml:space="preserve">Codul fiscal (2015), art. 399 alin.(1) lit.d); </w:t>
      </w:r>
    </w:p>
    <w:p w14:paraId="247854D6" w14:textId="77777777" w:rsidR="00DC6919" w:rsidRPr="00250C7F" w:rsidRDefault="00DC6919" w:rsidP="00DC6919">
      <w:pPr>
        <w:spacing w:after="0" w:line="276" w:lineRule="auto"/>
        <w:ind w:firstLine="720"/>
        <w:jc w:val="right"/>
        <w:rPr>
          <w:rFonts w:ascii="Times New Roman" w:hAnsi="Times New Roman"/>
          <w:sz w:val="24"/>
          <w:szCs w:val="24"/>
        </w:rPr>
      </w:pPr>
      <w:r w:rsidRPr="00250C7F">
        <w:rPr>
          <w:rFonts w:ascii="Times New Roman" w:hAnsi="Times New Roman"/>
          <w:sz w:val="24"/>
          <w:szCs w:val="24"/>
        </w:rPr>
        <w:t xml:space="preserve">Directiva 2003/96/CE, art. 15 lit. c); </w:t>
      </w:r>
    </w:p>
    <w:p w14:paraId="375B65D7" w14:textId="77777777" w:rsidR="00DC6919" w:rsidRPr="00250C7F" w:rsidRDefault="00DC6919" w:rsidP="00DC6919">
      <w:pPr>
        <w:spacing w:after="0" w:line="276" w:lineRule="auto"/>
        <w:ind w:firstLine="720"/>
        <w:jc w:val="right"/>
        <w:rPr>
          <w:rFonts w:ascii="Times New Roman" w:hAnsi="Times New Roman"/>
          <w:sz w:val="24"/>
          <w:szCs w:val="24"/>
        </w:rPr>
      </w:pPr>
      <w:r w:rsidRPr="00250C7F">
        <w:rPr>
          <w:rFonts w:ascii="Times New Roman" w:hAnsi="Times New Roman"/>
          <w:sz w:val="24"/>
          <w:szCs w:val="24"/>
        </w:rPr>
        <w:t xml:space="preserve">Legea nr. 21/1996, art. 8 alin. (1) lit. (b), </w:t>
      </w:r>
    </w:p>
    <w:p w14:paraId="485EC99D" w14:textId="40861787" w:rsidR="00DC6919" w:rsidRPr="00250C7F" w:rsidRDefault="00DC6919" w:rsidP="00DC6919">
      <w:pPr>
        <w:spacing w:after="0" w:line="276" w:lineRule="auto"/>
        <w:ind w:firstLine="720"/>
        <w:jc w:val="right"/>
        <w:rPr>
          <w:rFonts w:ascii="Times New Roman" w:hAnsi="Times New Roman"/>
          <w:sz w:val="24"/>
          <w:szCs w:val="24"/>
        </w:rPr>
      </w:pPr>
      <w:r w:rsidRPr="00250C7F">
        <w:rPr>
          <w:rFonts w:ascii="Times New Roman" w:hAnsi="Times New Roman"/>
          <w:sz w:val="24"/>
          <w:szCs w:val="24"/>
        </w:rPr>
        <w:t>Constituția României, art. 135</w:t>
      </w:r>
    </w:p>
    <w:p w14:paraId="77696413" w14:textId="77777777" w:rsidR="00DC6919" w:rsidRPr="00250C7F" w:rsidRDefault="00DC6919" w:rsidP="00DC6919">
      <w:pPr>
        <w:spacing w:line="276" w:lineRule="auto"/>
        <w:rPr>
          <w:rFonts w:ascii="Times New Roman" w:hAnsi="Times New Roman"/>
          <w:sz w:val="24"/>
          <w:szCs w:val="24"/>
        </w:rPr>
      </w:pPr>
    </w:p>
    <w:p w14:paraId="21311727" w14:textId="77777777" w:rsidR="00DC6919" w:rsidRPr="00250C7F" w:rsidRDefault="00DC6919" w:rsidP="00DC6919">
      <w:pPr>
        <w:spacing w:after="0" w:line="276" w:lineRule="auto"/>
        <w:ind w:firstLine="720"/>
        <w:jc w:val="both"/>
        <w:rPr>
          <w:rFonts w:ascii="Times New Roman" w:hAnsi="Times New Roman"/>
          <w:i/>
          <w:sz w:val="24"/>
          <w:szCs w:val="24"/>
        </w:rPr>
      </w:pPr>
      <w:r w:rsidRPr="00250C7F">
        <w:rPr>
          <w:rFonts w:ascii="Times New Roman" w:hAnsi="Times New Roman"/>
          <w:i/>
          <w:sz w:val="24"/>
          <w:szCs w:val="24"/>
        </w:rPr>
        <w:lastRenderedPageBreak/>
        <w:t>Sunt nelegale prevederile punctului 94 alin.(1) lit.c) din Normele metodologice de aplicare a Legii nr.227/2015 privind Codul fiscal care, prin modul de reglementare, conduc la o limitare a sferei de beneficiari ai scutirii de la plata accizelor aferente energiei electrice utilizate pentru producția combinată de energie electrică şi energie termică, de natură să  creeze o stare de discriminare între comercianți, fără a avea în vedere utilizarea efectivă a produsului, singurul criteriu obiectiv în baza căruia scutirea de la plata accizelor trebuie recunoscută.</w:t>
      </w:r>
    </w:p>
    <w:p w14:paraId="7351FC85" w14:textId="26E3AC25" w:rsidR="00DC6919" w:rsidRPr="00250C7F" w:rsidRDefault="00C7648A" w:rsidP="00DC6919">
      <w:pPr>
        <w:spacing w:after="0" w:line="276" w:lineRule="auto"/>
        <w:ind w:firstLine="720"/>
        <w:jc w:val="both"/>
        <w:rPr>
          <w:rFonts w:ascii="Times New Roman" w:hAnsi="Times New Roman"/>
          <w:i/>
          <w:sz w:val="24"/>
          <w:szCs w:val="24"/>
        </w:rPr>
      </w:pPr>
      <w:r w:rsidRPr="00250C7F">
        <w:rPr>
          <w:rFonts w:ascii="Times New Roman" w:hAnsi="Times New Roman"/>
          <w:i/>
          <w:sz w:val="24"/>
          <w:szCs w:val="24"/>
        </w:rPr>
        <w:t xml:space="preserve">Statele </w:t>
      </w:r>
      <w:r w:rsidR="00DC6919" w:rsidRPr="00250C7F">
        <w:rPr>
          <w:rFonts w:ascii="Times New Roman" w:hAnsi="Times New Roman"/>
          <w:i/>
          <w:sz w:val="24"/>
          <w:szCs w:val="24"/>
        </w:rPr>
        <w:t xml:space="preserve">membre </w:t>
      </w:r>
      <w:r w:rsidRPr="00250C7F">
        <w:rPr>
          <w:rFonts w:ascii="Times New Roman" w:hAnsi="Times New Roman"/>
          <w:i/>
          <w:sz w:val="24"/>
          <w:szCs w:val="24"/>
        </w:rPr>
        <w:t>au o marjă de apreciere în stabilirea modalităţii</w:t>
      </w:r>
      <w:r w:rsidR="00DC6919" w:rsidRPr="00250C7F">
        <w:rPr>
          <w:rFonts w:ascii="Times New Roman" w:hAnsi="Times New Roman"/>
          <w:i/>
          <w:sz w:val="24"/>
          <w:szCs w:val="24"/>
        </w:rPr>
        <w:t xml:space="preserve"> de implementare a condițiilor de stabilire a taxării produselor energetice și electricitate utilizate pentru producerea combinată de căldură și energie, </w:t>
      </w:r>
      <w:r w:rsidR="00C55445" w:rsidRPr="00250C7F">
        <w:rPr>
          <w:rFonts w:ascii="Times New Roman" w:hAnsi="Times New Roman"/>
          <w:i/>
          <w:sz w:val="24"/>
          <w:szCs w:val="24"/>
        </w:rPr>
        <w:t xml:space="preserve">dar </w:t>
      </w:r>
      <w:r w:rsidR="00DC6919" w:rsidRPr="00250C7F">
        <w:rPr>
          <w:rFonts w:ascii="Times New Roman" w:hAnsi="Times New Roman"/>
          <w:i/>
          <w:sz w:val="24"/>
          <w:szCs w:val="24"/>
        </w:rPr>
        <w:t xml:space="preserve">punerea în aplicare a acestei măsuri trebuie realizată cu respectarea principiului nediscriminării. </w:t>
      </w:r>
    </w:p>
    <w:p w14:paraId="2B5173DA" w14:textId="74897A8C" w:rsidR="00DC6919" w:rsidRPr="00250C7F" w:rsidRDefault="00C55445" w:rsidP="00DC6919">
      <w:pPr>
        <w:spacing w:after="0" w:line="276" w:lineRule="auto"/>
        <w:ind w:firstLine="720"/>
        <w:jc w:val="both"/>
        <w:rPr>
          <w:rFonts w:ascii="Times New Roman" w:hAnsi="Times New Roman"/>
          <w:i/>
          <w:sz w:val="24"/>
          <w:szCs w:val="24"/>
        </w:rPr>
      </w:pPr>
      <w:r w:rsidRPr="00250C7F">
        <w:rPr>
          <w:rFonts w:ascii="Times New Roman" w:hAnsi="Times New Roman"/>
          <w:i/>
          <w:sz w:val="24"/>
          <w:szCs w:val="24"/>
        </w:rPr>
        <w:t xml:space="preserve">În </w:t>
      </w:r>
      <w:r w:rsidR="00DC6919" w:rsidRPr="00250C7F">
        <w:rPr>
          <w:rFonts w:ascii="Times New Roman" w:hAnsi="Times New Roman"/>
          <w:i/>
          <w:sz w:val="24"/>
          <w:szCs w:val="24"/>
        </w:rPr>
        <w:t>vederea respectării acestui principiu, este necesară reglementarea explicită a cazurilor de scutire directă</w:t>
      </w:r>
      <w:r w:rsidRPr="00250C7F">
        <w:rPr>
          <w:rFonts w:ascii="Times New Roman" w:hAnsi="Times New Roman"/>
          <w:i/>
          <w:sz w:val="24"/>
          <w:szCs w:val="24"/>
        </w:rPr>
        <w:t>,</w:t>
      </w:r>
      <w:r w:rsidR="00DC6919" w:rsidRPr="00250C7F">
        <w:rPr>
          <w:rFonts w:ascii="Times New Roman" w:hAnsi="Times New Roman"/>
          <w:i/>
          <w:sz w:val="24"/>
          <w:szCs w:val="24"/>
        </w:rPr>
        <w:t xml:space="preserve"> distinct de cea indirectă</w:t>
      </w:r>
      <w:r w:rsidRPr="00250C7F">
        <w:rPr>
          <w:rFonts w:ascii="Times New Roman" w:hAnsi="Times New Roman"/>
          <w:i/>
          <w:sz w:val="24"/>
          <w:szCs w:val="24"/>
        </w:rPr>
        <w:t>,</w:t>
      </w:r>
      <w:r w:rsidR="00DC6919" w:rsidRPr="00250C7F">
        <w:rPr>
          <w:rFonts w:ascii="Times New Roman" w:hAnsi="Times New Roman"/>
          <w:i/>
          <w:sz w:val="24"/>
          <w:szCs w:val="24"/>
        </w:rPr>
        <w:t xml:space="preserve"> pentru toţi beneficiarii scutirii de accize care se încadrează </w:t>
      </w:r>
      <w:r w:rsidRPr="00250C7F">
        <w:rPr>
          <w:rFonts w:ascii="Times New Roman" w:hAnsi="Times New Roman"/>
          <w:i/>
          <w:sz w:val="24"/>
          <w:szCs w:val="24"/>
        </w:rPr>
        <w:t>în</w:t>
      </w:r>
      <w:r w:rsidR="00DC6919" w:rsidRPr="00250C7F">
        <w:rPr>
          <w:rFonts w:ascii="Times New Roman" w:hAnsi="Times New Roman"/>
          <w:i/>
          <w:sz w:val="24"/>
          <w:szCs w:val="24"/>
        </w:rPr>
        <w:t xml:space="preserve"> situaţiile prevăzute de art. 399 Cod fiscal, fără a exclude operatorii economici care achiziționează produsele în cauză de pe piaţa națională.</w:t>
      </w:r>
    </w:p>
    <w:p w14:paraId="4E6A74E1" w14:textId="77777777" w:rsidR="00DC6919" w:rsidRPr="00250C7F" w:rsidRDefault="00DC6919" w:rsidP="00DC6919">
      <w:pPr>
        <w:spacing w:line="276" w:lineRule="auto"/>
        <w:rPr>
          <w:rFonts w:ascii="Times New Roman" w:hAnsi="Times New Roman"/>
          <w:i/>
          <w:sz w:val="24"/>
          <w:szCs w:val="24"/>
        </w:rPr>
      </w:pPr>
    </w:p>
    <w:p w14:paraId="2C07DFC6" w14:textId="21156F8C" w:rsidR="00DC6919" w:rsidRPr="00250C7F" w:rsidRDefault="00DC6919" w:rsidP="00DC6919">
      <w:pPr>
        <w:spacing w:line="276" w:lineRule="auto"/>
        <w:rPr>
          <w:rFonts w:ascii="Times New Roman" w:hAnsi="Times New Roman"/>
          <w:sz w:val="24"/>
          <w:szCs w:val="24"/>
        </w:rPr>
      </w:pPr>
      <w:r w:rsidRPr="00250C7F">
        <w:rPr>
          <w:rFonts w:ascii="Times New Roman" w:hAnsi="Times New Roman"/>
          <w:sz w:val="24"/>
          <w:szCs w:val="24"/>
        </w:rPr>
        <w:t>I.C.C.J., Secţia de contencios administrativ şi fiscal, decizia nr. 2073 din 31 martie 2021</w:t>
      </w:r>
    </w:p>
    <w:p w14:paraId="45207A15" w14:textId="77777777" w:rsidR="00DC6919" w:rsidRPr="00250C7F" w:rsidRDefault="00DC6919" w:rsidP="00DC6919">
      <w:pPr>
        <w:spacing w:after="0" w:line="276" w:lineRule="auto"/>
        <w:ind w:firstLine="709"/>
        <w:jc w:val="both"/>
        <w:rPr>
          <w:rFonts w:ascii="Times New Roman" w:hAnsi="Times New Roman"/>
          <w:b/>
          <w:sz w:val="24"/>
          <w:szCs w:val="24"/>
        </w:rPr>
      </w:pPr>
      <w:r w:rsidRPr="00250C7F">
        <w:rPr>
          <w:rFonts w:ascii="Times New Roman" w:hAnsi="Times New Roman"/>
          <w:b/>
          <w:sz w:val="24"/>
          <w:szCs w:val="24"/>
        </w:rPr>
        <w:t>1. Circumstanţele cauzei. Cererea de chemare în judecată</w:t>
      </w:r>
    </w:p>
    <w:p w14:paraId="09F85897"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Prin cererea înregistrată pe rolul Curții de Apel Craiova - Secția Contencios Administrativ şi Fiscal la data de 27.05.2019, sub nr. 744/54/2019, reclamanta A SRL, în contradictoriu cu pârâtul Guvernul României, a solicitat anularea în parte a Hotărârii de Guvern nr. 1/2016 pentru aprobarea Normelor metodologice de aplicare a Legii nr. 227/2015 privind Codul fiscal cu privire la punctul 94 alin. 1 lit. c) din Normele metodologice de aplicare a Legii nr. 227/2015 privind Codul Fiscal. De asemenea, a solicitat obligarea pârâtului la plata cheltuielilor de judecată.</w:t>
      </w:r>
    </w:p>
    <w:p w14:paraId="176B4DFC" w14:textId="74AD39AF" w:rsidR="00DC6919" w:rsidRPr="00250C7F" w:rsidRDefault="00DC6919" w:rsidP="00DC6919">
      <w:pPr>
        <w:pStyle w:val="ListParagraph"/>
        <w:numPr>
          <w:ilvl w:val="0"/>
          <w:numId w:val="44"/>
        </w:numPr>
        <w:spacing w:line="276" w:lineRule="auto"/>
        <w:jc w:val="both"/>
        <w:rPr>
          <w:rFonts w:ascii="Times New Roman" w:hAnsi="Times New Roman"/>
          <w:b/>
          <w:sz w:val="24"/>
          <w:szCs w:val="24"/>
        </w:rPr>
      </w:pPr>
      <w:r w:rsidRPr="00250C7F">
        <w:rPr>
          <w:rFonts w:ascii="Times New Roman" w:hAnsi="Times New Roman"/>
          <w:b/>
          <w:sz w:val="24"/>
          <w:szCs w:val="24"/>
        </w:rPr>
        <w:t>Hotărea primei instanţe.</w:t>
      </w:r>
    </w:p>
    <w:p w14:paraId="0A9B67B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Prin sentinţa nr. 381 din data de 21 Octombrie 2019, Curtea de Apel Craiova – Secţia contencios administrativ şi fiscal a respins acțiunea formulată de reclamanta A SRL - prin administrator, în contradictoriu cu pârâtul Guvernul României şi a admis cererea de intervenție accesorie formulată de Ministerul Finanțelor Publice. </w:t>
      </w:r>
    </w:p>
    <w:p w14:paraId="06E65636" w14:textId="79C45B73" w:rsidR="00DC6919" w:rsidRPr="00250C7F" w:rsidRDefault="00DC6919" w:rsidP="00DC6919">
      <w:pPr>
        <w:spacing w:after="0" w:line="276" w:lineRule="auto"/>
        <w:ind w:firstLine="709"/>
        <w:jc w:val="both"/>
        <w:rPr>
          <w:rFonts w:ascii="Times New Roman" w:hAnsi="Times New Roman"/>
          <w:b/>
          <w:sz w:val="24"/>
          <w:szCs w:val="24"/>
        </w:rPr>
      </w:pPr>
      <w:r w:rsidRPr="00250C7F">
        <w:rPr>
          <w:rFonts w:ascii="Times New Roman" w:hAnsi="Times New Roman"/>
          <w:b/>
          <w:sz w:val="24"/>
          <w:szCs w:val="24"/>
        </w:rPr>
        <w:t>3. Cererea de recurs.</w:t>
      </w:r>
    </w:p>
    <w:p w14:paraId="4D8605B8"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Împotriva sentinţei nr. 381 din data de 21 Octombrie 2019, Curtea de Apel Craiova – Secţia contencios administrativ şi fiscal  a declarat recurs reclamanta A SRL - prin administrator, întemeiat pe motivul de casare prevăzut de art. 488 pct. 8 NCPC - greșita aplicare a legii de către instanța de fond, formulând, în dezvoltarea motivului de recurs invocat, următoarele critici:</w:t>
      </w:r>
    </w:p>
    <w:p w14:paraId="2996553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 În ceea ce priveşte aplicarea scutirii de acciză se arată că instanţa de fond a preluat argumentaţia formulată de pârâtul Guvernul României, reiterată şi de către intervenienta MFP, fără a înţelege situaţia discriminatorie cauzată de legislaţia în vigoare.</w:t>
      </w:r>
    </w:p>
    <w:p w14:paraId="074FCBA4"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Prima instanţă a concluzionat, cu greşita aplicare a dispoziţiilor art. 399 din Codul fiscal că plata accizei şi, implicit, aplicarea scutirii se realizează la prima verigă a lanţului tranzacţional specific, respectiv nu vor fi obligaţi la plata taxei, fiind astfel scutiţi de la plata accizelor pentru produsele energetice utilizate pentru producţia combinata de energie electrică şi energie termică, persoanele care extrag cărbune, produc cocs, precum şi cei care efectuează achiziţii intracomunitare sau importă astfel de produse."</w:t>
      </w:r>
    </w:p>
    <w:p w14:paraId="1B440FF2"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lastRenderedPageBreak/>
        <w:t>În conformitate cu prevederile punctului 94 al Normelor metodologice pentru aplicarea art. 399 din Codul fiscal:</w:t>
      </w:r>
    </w:p>
    <w:p w14:paraId="1D2487B0" w14:textId="77777777" w:rsidR="00DC6919" w:rsidRPr="00250C7F" w:rsidRDefault="00DC6919" w:rsidP="00DC6919">
      <w:pPr>
        <w:spacing w:after="0" w:line="276" w:lineRule="auto"/>
        <w:ind w:firstLine="709"/>
        <w:jc w:val="both"/>
        <w:rPr>
          <w:rFonts w:ascii="Times New Roman" w:hAnsi="Times New Roman"/>
          <w:i/>
          <w:sz w:val="24"/>
          <w:szCs w:val="24"/>
        </w:rPr>
      </w:pPr>
      <w:r w:rsidRPr="00250C7F">
        <w:rPr>
          <w:rFonts w:ascii="Times New Roman" w:hAnsi="Times New Roman"/>
          <w:sz w:val="24"/>
          <w:szCs w:val="24"/>
        </w:rPr>
        <w:t>„(</w:t>
      </w:r>
      <w:r w:rsidRPr="00250C7F">
        <w:rPr>
          <w:rFonts w:ascii="Times New Roman" w:hAnsi="Times New Roman"/>
          <w:i/>
          <w:sz w:val="24"/>
          <w:szCs w:val="24"/>
        </w:rPr>
        <w:t>5) Destinatarii înregistraţi, importatorii sau operatorii economici prevăzuţi la alin. (1), care achiziţionează produse energetice în vederea livrării în regim de scutire directă către centralele de producţie de energie electrică sau producţie combinată de energie electrică şi termică, livrează produsele la preţuri fără accize şi solicită autorității fiscale teritoriale restituirea accizelor aferente cantităților livrate cu această destinație care au fost plătite, după caz, la momentul recepției, importului sau al achiziţiei."</w:t>
      </w:r>
    </w:p>
    <w:p w14:paraId="1D763D70"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Din analiza acestor prevederi legale rezultă următoarele:</w:t>
      </w:r>
    </w:p>
    <w:p w14:paraId="5C1FA4A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Importatorii şi operatorii economici care achiziţionează produse energetice din alte state membre solicită autorităţii fiscale teritoriale restituirea accizelor aferente cantităţilor livrate cu această destinaţie care au fost plătite.</w:t>
      </w:r>
    </w:p>
    <w:p w14:paraId="44FBEED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Prin urmare, aceşti importatori şi operatori economici mai întăi achită acciza şi, ulterior livrării către centralele de producţie de energie electrică sau producţie combinată de energie electrică, aceştia solicită o restituire a accizei plătite.</w:t>
      </w:r>
    </w:p>
    <w:p w14:paraId="1006579E"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Prin acest mecanism se asigură, aşadar, scutirea de acciză pentru produsele energetice utilizate pentru producția combinată de energie electrică şi energie termică, prevăzută la art. 399 alin. (1) lit. d), însă pe calea unei scutiri indirecte (adică, plată urmată de restituire). Respectiv mai întâi se achită acciza, şi după ce se face dovada utilizării produselor în conformitate cu prevederile literei d), se poate recupera acciza.</w:t>
      </w:r>
    </w:p>
    <w:p w14:paraId="5E5C1400"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Astfel, prin raportare la aspectele reţinute de instanţa de fond trebuie subliniat că inclusiv importatorii şi operatorii economici care achiziţionează produse energetice din alte state membre plătesc acciza, iar după ce se face dovada utilizării produselor energetice în scopurile prevăzute la art. 399 alin. (1) lit. d) din Codul Fiscal, acești operatori economici recuperează acciza plătită.</w:t>
      </w:r>
    </w:p>
    <w:p w14:paraId="0D782868"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Aşa fiind, în mod eronat reţine instanţa de fond că „nu vor fi obligaţi la plata taxei, fiind astfel scutiţi de la plata accizelor pentru produsele energetice utilizate pentru producţia combinata de energie electrică şi energie termică, persoanele care extrag cărbune, produc cocs, precum şi cei care efectuează achiziţii intracomunitare sau importă astfel de produse". Aceştia sunt în fapt obligaţi la plata accizei şi nu beneficiază de scutire asemenea operatorilor economici care produc energie electrică şi energie termică combinată.</w:t>
      </w:r>
    </w:p>
    <w:p w14:paraId="55B2E08B" w14:textId="59CD5AD2"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acest context, în mod eronat a interpretat instanța de fond prevederile art. 399 alin. (1) lit. d) din Codul Fiscal, precum şi ale Normelor Metodologice care detaliază modul în care se aplică scutirea de acciză.</w:t>
      </w:r>
    </w:p>
    <w:p w14:paraId="4A5D0844"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Mai departe, în disonanță cu reținerea analizată în cele ce preced privitoare la aplicarea scutirii la nivelul primei verigi din lanţ, instanța de fond precizează că: „în consecință, textele legale mai sus expuse reglementează posibilitatea acordării scutirii directe numai către beneficiarii efectivi ai scutirii, respectiv centralele de producție de energie electrică sau producție combinată de energie electrică şi termică, iar pentru destinatarii înregistrați, importatorii sau operatorii economici prevăzuți la pct. 94 alin. 1 lit. c din normele metodologice, care achiziționează produse energetice în vederea livrării în regim de scutire directă către centralele de producție de energie electrica sau producție combinată de energie electrică şi termică, exigibilitatea accizelor intervine la momentul recepției, importului sau al achiziției, deci tot prima verigă din lanțul de tranzacționare către beneficiarii efectivi ai scutirii."</w:t>
      </w:r>
    </w:p>
    <w:p w14:paraId="6E12F56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lastRenderedPageBreak/>
        <w:t>Cu privire la această afirmaţie a instanţei de fond arată că într-adevăr de scutirea directă pot beneficia doar centralele de producţie de energie electrică sau producţie combinată de energie electrică sau termică, scutire care directă care nu este aplicabilă societăţii, întrucât aceasta este un comerciant de produse energetice şi nu este un producător de energie electrică sau energie termică.</w:t>
      </w:r>
    </w:p>
    <w:p w14:paraId="685CCB40"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acelaşi timp însă, această scutire directă nu este aplicabilă nici importatorilor şi operatorilor economici care achiziţionează din alte state membre şi nu sunt utilizatori finali, respectiv nu sunt centralele de producţie de energie electrică sau producţie combinată de energie electrică sau termică.</w:t>
      </w:r>
    </w:p>
    <w:p w14:paraId="4AEE52DB"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Astfel, spre deosebire de centralele de producţie de energie electrică sau producţie combinată de energie electrică sau termică, importatorii şi operatorii economici care achiziționează produse energetice din alte state membre mai întâi achită acciza şi apoi, după ce se face dovada utilizării produsului energetic aceştia pot solicita restituirea accizei plătite.</w:t>
      </w:r>
    </w:p>
    <w:p w14:paraId="33ED780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Consideră că este neclară afirmaţia instanţei de fond în sensul că „exigibilitatea accizelor intervine la momentul recepţiei, importului sau al achiziţiei, deci tot prima verigă din lanţul de tranzacţionare către beneficiarii efectivi ai scutirii".</w:t>
      </w:r>
    </w:p>
    <w:p w14:paraId="3822373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Instanța de fond şi-a însușit argumentația pârâtei fără a avea o înțelegere foarte clară a mecanismului de aplicare a scutirii. În contextul paragrafului mai sus citat, acesta se referă la scutirea directă care se aplică doar centralelor de producție de energie electrică sau producție combinată de energie electrică sau termică. Nu este clar ce relevanță are în contextul scutirii directe faptul că importatorii şi operatorii economici care achiziționează produse energetice din alte state membre sunt „prima verigă din lanțul de tranzacționare".</w:t>
      </w:r>
    </w:p>
    <w:p w14:paraId="13AC822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Contrar celor reţinute de prima instanţă, aceşti operatori economici nu beneficiază de scutire directă, ci de una indirectă, fiind obligaţi să achite acciza şi apoi, sub condiţia dovedirii modului de utilizare a produselor energetice, pot solicita restituirea accizei. De asemenea, în ceea ce priveşte importatorii şi operatorii economici care achiziționează produse energetice din alte state membre, trebuie avut în vedere că în fapt nici ei nu sunt „prima verigă din lanţul de tranzacţionare". Aceştia achiziționează aceste produse de la alţi operatori economici deci nu au cum să fie ei „prima verigă din lanţul de tranzacţionare".</w:t>
      </w:r>
    </w:p>
    <w:p w14:paraId="5C092DB0" w14:textId="271DCF64"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fapt, instanţa de fond nu are în vedere că societatea reclamantă şi importatorii şi operatorii economici care achiziționează produse energetice din alte state membre se află în situaţii similare.</w:t>
      </w:r>
    </w:p>
    <w:p w14:paraId="672AA2E2"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Societatea este un operator economic ce achiziționează produse energetice de la producători locali (din România). În contextul în care operatorii care achiziționează de la producători locali achită acciza datorată în numele şi pe seama producătorilor, negarea dreptului acestora de a recupera acciza plătită, odată ce s-a făcut dovada utilizării produselor energetice pentru producerea combinată de energie electrică sau energie termică, invalidează prevederile art. 399 alin. (1) lit. d) din Codul fiscal.</w:t>
      </w:r>
    </w:p>
    <w:p w14:paraId="69B7B228"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conformitate cu prevederile art. 399 alin. (1) lit. d) din Codul fiscal, se instituie regula generală potrivit căreia sunt scutite de la plata accizelor produsele energetice şi energia electrică utilizate pentru producția combinată de energie electrică şi energie termică.</w:t>
      </w:r>
    </w:p>
    <w:p w14:paraId="473AA49D"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În condițiile în care prin Normele metodologice sunt excluși de la recuperarea accizei operatorii economici care au achiziționat produsele de la producători locali şi au plătit această acciză în numele şi pe seama acestor producători, este evidentă atât încălcarea prevederilor normei </w:t>
      </w:r>
      <w:r w:rsidRPr="00250C7F">
        <w:rPr>
          <w:rFonts w:ascii="Times New Roman" w:hAnsi="Times New Roman"/>
          <w:sz w:val="24"/>
          <w:szCs w:val="24"/>
        </w:rPr>
        <w:lastRenderedPageBreak/>
        <w:t>superioare (art. 399 alin. (1) lit. d) din Codul fiscal) cât şi discriminarea între operatorii economici care importă aceste bunuri şi operatorii economici care fac achiziții locale şi achită în numele şi pe seama producătorilor acciza.</w:t>
      </w:r>
    </w:p>
    <w:p w14:paraId="2FC9ED1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Din moment ce este acceptată şi considerată în mod valabil plătită acciza de către cumpărători în numele şi pe seama producătorilor locali, negarea dreptului cumpărătorilor de pe piaţa locală de a recupera acciza plătită (odată ce s-a făcut dovada utilizării produselor energetice pentru producerea combinată de energie electrică sau energie termică) reprezintă în mod evident o încălcare a prevederilor normei art. 399 alin. (11 lit. d) din Codul fiscal cât si a prevederilor dreptului uniunii, întrucât, din moment ce acciza a fost plătită pentru aceste produse si nu a fost restituită, aceste produse au fost accizate şi nu au fost scutite de acciză.</w:t>
      </w:r>
    </w:p>
    <w:p w14:paraId="7099147E"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conformitate cu modul actual de formulare al Normelor Metodologice se creează o situație de discriminare între operatorii economici care fac achiziții interne şi cei care fac achiziție intracomunitare sau importuri, respectiv între produse naționale şi produse din alte state membre.</w:t>
      </w:r>
    </w:p>
    <w:p w14:paraId="3BB42C1F"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Importatorii şi operatorii economici care achiziționează produse energetice din alte state membre livrează aceste produse energetice către centrale la preturi fără accize:</w:t>
      </w:r>
    </w:p>
    <w:p w14:paraId="0A0D6EF7"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Argumentul privind „veriga din lanţul de tranzacţionare" (foarte neclar expus de instanţa de fond) este irelevant în contextul în care inclusiv operatorii economici care achiziţionează din România achită acciza, însă doar aceştia nu o pot recupera.</w:t>
      </w:r>
    </w:p>
    <w:p w14:paraId="4066BB11" w14:textId="0BBA23B5"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B. </w:t>
      </w:r>
      <w:r w:rsidR="00DC6919" w:rsidRPr="00250C7F">
        <w:rPr>
          <w:rFonts w:ascii="Times New Roman" w:hAnsi="Times New Roman"/>
          <w:sz w:val="24"/>
          <w:szCs w:val="24"/>
        </w:rPr>
        <w:t>În ceea ce priveşte delegarea de competenţă de reglementare, , în motivarea hotărârii recurate se reţine că: „In altă ordine de idei, conform art. 399 alin. 2 C. fiscal, modalitatea şi condițiile de acordare a scutirilor prevăzute la alin. (1) se reglementează prin normele metodologice.</w:t>
      </w:r>
    </w:p>
    <w:p w14:paraId="40236400"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Aceste dispoziții stabilesc o delegare de competență de reglementare în domeniul respectiv, de la legiuitorul primar Parlamentul României către puterea executivă. Cu alte cuvinte, scutirea de la plata accizelor pentru produsele energetice şi energie electrică se realizează în condițiile astfel cum acestea sunt stabilite prin act administrativ normativ de către autoritatea administrativă.</w:t>
      </w:r>
    </w:p>
    <w:p w14:paraId="28C0324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consecinţă, scutirea de la dispoziţiile art. 399 alin. 1 C. fiscal nu va opera de plano, ci doar în modalităţile si condiţiile de acordare, astfel cum acestea sunt stabilite de către legiuitorul secundar, în speţă Guvernul României.</w:t>
      </w:r>
    </w:p>
    <w:p w14:paraId="7054FB2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Trebuie reţinut că hotărârile Guvernului de organizare a executării legii se adoptă întotdeauna în baza acesteia, fiind acte infralegale care pun în aplicare sau duc la îndeplinire o lege sau dispoziții din acestea."</w:t>
      </w:r>
    </w:p>
    <w:p w14:paraId="0733AD3C"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Cu privire la aceste considerente ale instanței de fond arată că societatea tocmai acest aspect l-a contestat pe calea acţiunii introductive de instanţă, şi anume că Guvernul, prin Normele Metodologice nu a pus în aplicare, respectiv nu a dus la îndeplinire o dispoziție legală în limitele acesteia, ci, prin modul de formulare a Normelor Metodologice pentru aplicarea Codului Fiscal se ajunge la inaplicabilitatea prevederilor Codului Fiscal.</w:t>
      </w:r>
    </w:p>
    <w:p w14:paraId="648994C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mod specific, se ajunge în situația în care un produs energetic care a fost folosit pentru producerea combinată de energie electrică sau energie termică şi pentru care s-a făcut dovada acestei utilizări nu va mai fi scutit de acciză, contrar prevederilor Codului fiscal ce specifică în mod clar că scutirea de acciză se acordă în funcție de utilizarea produsului energetic (aspect factual, obiectiv).</w:t>
      </w:r>
    </w:p>
    <w:p w14:paraId="0D1CDF00"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lastRenderedPageBreak/>
        <w:t>În acest context se poate conchide că Guvernul nu a dus la îndeplinire legea ci a creat un cadru legislativ inferior care împiedică aplicarea legii.</w:t>
      </w:r>
    </w:p>
    <w:p w14:paraId="27A3B488"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Astfel, Codul Fiscal prevede la art. 399 alin. (1) lit. d) o scutire pentru produsele energetice folosite pentru producția combinată de energie termică, în măsura în care anterior utilizării produsului energetic pentru acesta a fost achitată o acciză, pentru a se aplica prevederile art. 399 alin. (1) lit. d) din Codul Fiscal este necesar să se restituie acciza achitată. În măsura în care nu se restituie această acciză plătită pentru produsul energetic respectiv, acesta rămâne accizat, fiind astfel înfrânte dispozițiile art. 399 alin. (1) lit. d) din Codul Fiscal.</w:t>
      </w:r>
    </w:p>
    <w:p w14:paraId="4E517B5B"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Apoi, scutirea prevăzută la art. 399 alin. (1) lit. d) din Codul fiscal vizează exclusiv utilizarea dată produselor energetice, o eventuală condiționare cu privire la calitatea operatorilor economici din circuitul aprovizionării cu produse energetice final fiind neîntemeiată pe prevederile art. 399 alin. (1) lit. d) din Codul Fiscal, introducând o discriminare între comercianți, aspect pe care legiuitorul (oricare ar fi el, primar sau delegat-secundar), nu l-a avut niciodată în vedere.</w:t>
      </w:r>
    </w:p>
    <w:p w14:paraId="26F62382"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La art. 399 alin. (2) din Codul fiscal (art. 20660 alin. (2) din vechiul Cod fiscal) se menţionează că „Modalitatea şi condiţiile de acordare a scutirilor prevăzute la alin. (1) se reglementează prin normele metodologice".</w:t>
      </w:r>
    </w:p>
    <w:p w14:paraId="4BBCF6B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Aşadar, Normele Metodologice trebuie să reglementeze modalitatea şi condiţiile de acordare a scutirilor prevăzute la art. 399 alin. (1) din Codul fiscal. Această prevedere trebuie interpretată strict, înţelegând prin aceasta că prin Normele Metodologice nu se poate aduce o restrângere a ariei de aplicabilitate a scutirilor respective, scutirea vizând utilizarea produselor energetice, nu categoriile de operatori economici implicaţi în circuitul comercial.'</w:t>
      </w:r>
    </w:p>
    <w:p w14:paraId="2B517EB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acelaşi context, instanţa de fond precizează că prin decizia nr. 424/2013 publicată în Monitorul Oficial al României nr. 15 din 10.01.2014, Curtea Constituţională a reţinut că „noţiunea de organizare a executării legii are un sens mai larg decât cea privind aplicarea legii, Guvernul putând dispune diverse măsuri în vederea stabilirii cadrului necesar pentru ducerea la îndeplinire a dispoziţiilor legii.</w:t>
      </w:r>
    </w:p>
    <w:p w14:paraId="7076B061"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Parlamentul nu mai stabileşte întotdeauna direct, prin lege, aceasta atribuţie putând reveni administratei însărcinate cu organizarea executării legii şi apreciază că dispoziţiile de lege criticate, prin care se stabileşte posibilitatea Guvernului de a emite acte administrative normative infralegale prin care se interpretează cu caracter oficial legea, nu contravin prevederilor art. 108 alin. 2 din Constituţie. Prin urmare, în cazul în care există o delegare specială din partea puterii legislative, administraţia poate adopta acte cu caracter normativ prin care să reglementeze domenii sociale în mod primar, alături de actul legislativ al Parlamentului."</w:t>
      </w:r>
    </w:p>
    <w:p w14:paraId="1459762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Aşadar, actele normative date în executarea actelor normative primare (n.n. lege în sens restrâns, ordonanţe de Guvern) trebuie să fie date cu respectarea competenţei constituţionale şi legale a organului emitent şi cu respectarea actelor normative cu forţă juridică superioară. Astfel, hotărârile de Guvern, conform art. 108 alin. (2) din Constituţia României, republicată, „se emit pentru organizarea executării legilor". Este consacrat astfel regimul constituţional al hotărârilor Guvernului, potrivit căruia hotărârile trebuie să se întemeieze pe lege sau pe un act normativ cu forţa juridică a legii.</w:t>
      </w:r>
    </w:p>
    <w:p w14:paraId="47163B7D"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Prin urmare, în contextul în care prin lege, respectiv prin Codul fiscal aprobat prin Legea nr. 227/2015, este prevăzut în mod expres că „sunt scutite de la plata accizelor produsele energetice şi energia electrică utilizate pentru producţia combinată de energie electrică şi energie </w:t>
      </w:r>
      <w:r w:rsidRPr="00250C7F">
        <w:rPr>
          <w:rFonts w:ascii="Times New Roman" w:hAnsi="Times New Roman"/>
          <w:sz w:val="24"/>
          <w:szCs w:val="24"/>
        </w:rPr>
        <w:lastRenderedPageBreak/>
        <w:t>termică", nu este posibilă restrângerea aplicabilității acestei prevederi printr-o normă inferioară, respectiv prin Normele Metodologice.</w:t>
      </w:r>
    </w:p>
    <w:p w14:paraId="3AF50047"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Având în vedere aceste aspecte consideră că instanţa de fond nu a avut în vedere prevederile legislaţiei în materie de tehnică legislativă şi de asemenea nu a avut în vedere faptul că Normele Metodologice nu sunt o reglementare de sine stătătoare, independentă, ci acestea vin în aplicarea Codului fiscal, trebuind aşadar să fie în linie cu prevederile Codului fiscal şi nu să limiteze aplicabilitatea prevederilor Codului fiscal prin introducerea unor condiţii/limitări suplimentare.</w:t>
      </w:r>
    </w:p>
    <w:p w14:paraId="641883C6" w14:textId="5CD813D4"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C. </w:t>
      </w:r>
      <w:r w:rsidR="00DC6919" w:rsidRPr="00250C7F">
        <w:rPr>
          <w:rFonts w:ascii="Times New Roman" w:hAnsi="Times New Roman"/>
          <w:sz w:val="24"/>
          <w:szCs w:val="24"/>
        </w:rPr>
        <w:t>În ceea ce priveşte implementarea prevederilor Directivei în 2003/96/CE în legislaţia naţională, aşa cum rezultă din motivarea Hotărârii, instanţa de fond apreciază că:</w:t>
      </w:r>
    </w:p>
    <w:p w14:paraId="1B8436EC"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„De asemenea, trebuie reţinut că prevederile art. 399 din Legea nr. 227/2015 privind Codul Fiscal, cu modificările şi completările ulterioare, în vigoare începând cu data de 01.01.2016, transpun în legislaţia naţională scutirea de la plata accizelor prevăzuta la art. 15 lit. c) din Directiva 2003/96/CE a Consiliului din 27 octombrie 2003 privind restructurarea cadrului comunitar de impozitare a produselor energetice.</w:t>
      </w:r>
    </w:p>
    <w:p w14:paraId="3A3BB61B"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Analizând dispozițiile art. 15 lit. c din Directivă, prima instanţă a constatat că este la latitudinea statelor membre modalitatea de implementare a condiţiilor de stabilire a taxării produselor energetice şi electricitate utilizate pentru producerea combinata de căldură şi energie.</w:t>
      </w:r>
    </w:p>
    <w:p w14:paraId="1FC5F065" w14:textId="1B42A64A"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w:t>
      </w:r>
      <w:r w:rsidR="00DC6919" w:rsidRPr="00250C7F">
        <w:rPr>
          <w:rFonts w:ascii="Times New Roman" w:hAnsi="Times New Roman"/>
          <w:sz w:val="24"/>
          <w:szCs w:val="24"/>
        </w:rPr>
        <w:t>n acest context subliniază faptul că, într-adevăr, Directiva dispune în sensul în care statele membre pot sau nu să acorde această scutire de acciză pentru produsele energetice, în funcţie de utilizarea lor, nelăsând facultatea statelor membre de a impune condiţii suplimentare. Astfel, un stat membru poate să acorde scutirea / reducerea de acciză pentru produsele energetice dacă sunt folosite pentru producerea combinată de căldură şi energie sau pot să nu acorde această scutire sau alternativ reducere.</w:t>
      </w:r>
    </w:p>
    <w:p w14:paraId="07A40A38"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Directiva nu oferă Statelor membre posibilitatea să condiţioneze scutirea de calitatea operatorului economic şi, cu atât mai puţin, nu este permisă implementarea unei scutiri cu generarea unei discriminări între operatorii economici şi încălcarea principiilor dreptului comunitar.</w:t>
      </w:r>
    </w:p>
    <w:p w14:paraId="3B28AA4F"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mod concret,</w:t>
      </w:r>
    </w:p>
    <w:p w14:paraId="221A79BC" w14:textId="121A30D6"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 </w:t>
      </w:r>
      <w:r w:rsidR="00DC6919" w:rsidRPr="00250C7F">
        <w:rPr>
          <w:rFonts w:ascii="Times New Roman" w:hAnsi="Times New Roman"/>
          <w:sz w:val="24"/>
          <w:szCs w:val="24"/>
        </w:rPr>
        <w:t>dacă un operator economic achiziționează cărbune dintr-un alt stat membru sau dintr-un stat terţ şi vinde acest cărbune pentru a fi în cele din urmă utilizat pentru producerea combinată de căldură şi energie, în acest caz operatorul economic poate aplica scutirea. însă,</w:t>
      </w:r>
    </w:p>
    <w:p w14:paraId="6CBCDD63" w14:textId="44756326"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 </w:t>
      </w:r>
      <w:r w:rsidR="00DC6919" w:rsidRPr="00250C7F">
        <w:rPr>
          <w:rFonts w:ascii="Times New Roman" w:hAnsi="Times New Roman"/>
          <w:sz w:val="24"/>
          <w:szCs w:val="24"/>
        </w:rPr>
        <w:t>dacă acelaşi operator economic achiziţionează cărbune din România şi vinde acest cărbune pentru a fi în cele din urmă utilizat pentru producerea combinată de căldură şi energie, în acest caz operatorul economic nu poate aplica scutirea.</w:t>
      </w:r>
    </w:p>
    <w:p w14:paraId="248612BB"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Aşadar, prin Normele metodologice este introdusă o condiţionare neprevăzută în Codul Fiscal şi în Directivă şi care discriminează pe baza originii produsului energetic, defavorizând achiziţia de asemenea produse de pe piaţa locală, românească.</w:t>
      </w:r>
    </w:p>
    <w:p w14:paraId="46895BD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După cum a reţinut Avocatul General Poiares Maduro în contextul cauzei C-72/03, cazul Carbonaţi Apuani, „este în mod clar unul dinte obiectivele fundamentale ale Comunităţii să se asigure că nicio discriminare de niciun fel nu ar trebui să rezulte din aplicarea regulilor sale. În consecință, trebuie să se asigure întotdeauna, în măsura în care este efectiv posibil, că aplicarea unei reguli Comunitare nu dă naștere unei încălcări a principiului non-disciminăririi.</w:t>
      </w:r>
    </w:p>
    <w:p w14:paraId="1E94FAA9"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lastRenderedPageBreak/>
        <w:t>Or, din modul actual de formulare al Normelor Metodologice, în mod evident se creează o situaţie de discriminare între operatorii economici care fac achiziţii interne şi cei care fac achiziţii intracomunitare sau importuri, respectiv între produse naționale şi produse din alte state membre.</w:t>
      </w:r>
    </w:p>
    <w:p w14:paraId="5460D7AC" w14:textId="5147ECAD"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Discriminare</w:t>
      </w:r>
      <w:r w:rsidR="00820051" w:rsidRPr="00250C7F">
        <w:rPr>
          <w:rFonts w:ascii="Times New Roman" w:hAnsi="Times New Roman"/>
          <w:sz w:val="24"/>
          <w:szCs w:val="24"/>
        </w:rPr>
        <w:t>a inversă apare când persoanele/</w:t>
      </w:r>
      <w:r w:rsidRPr="00250C7F">
        <w:rPr>
          <w:rFonts w:ascii="Times New Roman" w:hAnsi="Times New Roman"/>
          <w:sz w:val="24"/>
          <w:szCs w:val="24"/>
        </w:rPr>
        <w:t>produsele dintr-un stat membru sunt dezavantajate pentru că sunt supuse unei prevederi naţio</w:t>
      </w:r>
      <w:r w:rsidR="00820051" w:rsidRPr="00250C7F">
        <w:rPr>
          <w:rFonts w:ascii="Times New Roman" w:hAnsi="Times New Roman"/>
          <w:sz w:val="24"/>
          <w:szCs w:val="24"/>
        </w:rPr>
        <w:t>nale, în timp ce (a) persoanele/</w:t>
      </w:r>
      <w:r w:rsidRPr="00250C7F">
        <w:rPr>
          <w:rFonts w:ascii="Times New Roman" w:hAnsi="Times New Roman"/>
          <w:sz w:val="24"/>
          <w:szCs w:val="24"/>
        </w:rPr>
        <w:t>produsele care pot demonstra o legătură cu dreptul comunitar deşi sunt din acelaş</w:t>
      </w:r>
      <w:r w:rsidR="00820051" w:rsidRPr="00250C7F">
        <w:rPr>
          <w:rFonts w:ascii="Times New Roman" w:hAnsi="Times New Roman"/>
          <w:sz w:val="24"/>
          <w:szCs w:val="24"/>
        </w:rPr>
        <w:t>i stat membru şi (b) persoanele/</w:t>
      </w:r>
      <w:r w:rsidRPr="00250C7F">
        <w:rPr>
          <w:rFonts w:ascii="Times New Roman" w:hAnsi="Times New Roman"/>
          <w:sz w:val="24"/>
          <w:szCs w:val="24"/>
        </w:rPr>
        <w:t>produsele din alte state membre sunt protejate de acea prevedere naţională prin virtutea dreptului comunitar.</w:t>
      </w:r>
    </w:p>
    <w:p w14:paraId="223EB6C1"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Or, în cazul de faţă este evident că produsele energetice din România sunt dezavantajate faţă de produsele energetice din alte state membre sau din state terţe, unde acestea din urmă beneficiază de scutirea de acciză, însă cele din România nu beneficiază de scutirea de acciză decât în situaţia în care provin direct de la producător. Dacă produsele nu sunt livrate direct de către producător centralei, în aceste cazuri produsele energetice rămân accizate deşi sunt utilizate pentru producerea combinată de energie electrică sau energie termică.</w:t>
      </w:r>
    </w:p>
    <w:p w14:paraId="5AF5D8B6" w14:textId="6ED21BB9"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D. În </w:t>
      </w:r>
      <w:r w:rsidR="00DC6919" w:rsidRPr="00250C7F">
        <w:rPr>
          <w:rFonts w:ascii="Times New Roman" w:hAnsi="Times New Roman"/>
          <w:sz w:val="24"/>
          <w:szCs w:val="24"/>
        </w:rPr>
        <w:t>ceea ce priveşte respectarea prevederilor privind concurenţa loială finalmente, în motivarea sa, instanţa de fond reţine că:</w:t>
      </w:r>
    </w:p>
    <w:p w14:paraId="2487ACB7"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„Nu sunt întemeiate nici argumentele ce privesc încălcarea dispoziţiilor constituţionale referitoare la protecţia de către stat a concurenţei neloiale sau art. 21 din Legea nr. 21/1996 prin care se interzic acţiunile autorităţilor administrative care restrâng concurenţa neloială, deoarece prin regimul de taxare al accizelor pentru produsele energetice se urmărește acordarea scutirii directe numai de către beneficiarii efectivi ai scutiri."</w:t>
      </w:r>
    </w:p>
    <w:p w14:paraId="03F99FDB"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Reiterează în context că situaţia de discriminare îşi are izvorul în faptul că operatorii economici care importă asemenea bunuri sau le achiziţionează din alte state membre pot aplica scutirea indirectă (nu este vorba despre scutirea directă), respectiv după ce au plătit acciza şi s-a făcut dovada modului de utilizare a produselor energetice, aceştia pot solicita restituirea accizei plătite.</w:t>
      </w:r>
    </w:p>
    <w:p w14:paraId="1A7650F4"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Or, spre deosebire de importatori şi operatorii economici care achiziţionează intracomunitar produse energetice, societatea şi alţi operatori economici aflaţi într-o situaţie similară, care achiziţionează şi comercializează produse energetice din România, deşi achită acciza (nefiind utilizatori finali şi deci neputând achiziţiona de la producători produsele fără acciză) ei nu mai pot recupera această acciză achitată în cazurile în care aceste produse energetice sunt utilizate producerea combinată de energie electrică sau energie termică.</w:t>
      </w:r>
    </w:p>
    <w:p w14:paraId="480C638D"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consecinţă, este lipsită de sens afirmaţia instanţei de fond în sensul în care „prin regimul de taxare al accizelor pentru produsele energetice se urmăreşte acordarea scutirii directe numai de către beneficiarii efectivi ai scutiri".</w:t>
      </w:r>
    </w:p>
    <w:p w14:paraId="1E53F9EE"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Scutirea priveşte produsul energetic în sine şi presupune aplicarea un mecanism dublu:</w:t>
      </w:r>
    </w:p>
    <w:p w14:paraId="16A7F3E8" w14:textId="4BFDCEF1"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 </w:t>
      </w:r>
      <w:r w:rsidR="00DC6919" w:rsidRPr="00250C7F">
        <w:rPr>
          <w:rFonts w:ascii="Times New Roman" w:hAnsi="Times New Roman"/>
          <w:sz w:val="24"/>
          <w:szCs w:val="24"/>
        </w:rPr>
        <w:t>Scutire directă: operatorii economici livrează produse energetice către centrale la preţuri fără accize, urmată de</w:t>
      </w:r>
    </w:p>
    <w:p w14:paraId="4444D9F5" w14:textId="34EE9A5C"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 </w:t>
      </w:r>
      <w:r w:rsidR="00DC6919" w:rsidRPr="00250C7F">
        <w:rPr>
          <w:rFonts w:ascii="Times New Roman" w:hAnsi="Times New Roman"/>
          <w:sz w:val="24"/>
          <w:szCs w:val="24"/>
        </w:rPr>
        <w:t>Scutire indirectă: operatorii economici solicită autorităţii fiscale teritoriale restituirea accizelor aferente cantităților livrate către centrale după ce fac dovada modului în care au fost utilizate produsele energetice livrate.</w:t>
      </w:r>
    </w:p>
    <w:p w14:paraId="206A5B3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Dacă operatorului economic care a livrat centralei nu i se restituie acciza plătită chiar şi după ce s-a făcut dovada modului de utilizare a produsului energetic, atunci pentru acest produs </w:t>
      </w:r>
      <w:r w:rsidRPr="00250C7F">
        <w:rPr>
          <w:rFonts w:ascii="Times New Roman" w:hAnsi="Times New Roman"/>
          <w:sz w:val="24"/>
          <w:szCs w:val="24"/>
        </w:rPr>
        <w:lastRenderedPageBreak/>
        <w:t>rămâne achitată acciza (produsul rămâne accizat) si se încalcă dispoziţiile art. 399 alin. (1) lit. d) din Codul fiscal.</w:t>
      </w:r>
    </w:p>
    <w:p w14:paraId="2B39B382"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acelaşi timp, dacă anumitor operatori economici li se permite restituirea accizei însă, în aceleași condiții, altor operatori economici aflaţi într-o situaţie similară nu li se permite restituirea accizei, este evidentă discriminarea între operatori economici precum şi distorsionarea condițiilor concurențiale dintre aceștia, încălcându-se şi art. 8 alin. (1) lit. (b) din Legea nr. 21/1996.</w:t>
      </w:r>
    </w:p>
    <w:p w14:paraId="5FA83EFE"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Potrivit prevederilor art. 56 alin. (2) din Constituţia României „sistemul legal de impuneri trebuie să asigure așezarea justă a sarcinilor fiscale". Potrivit doctrinei, această dispoziţie constituţională reflectă principiul egalităţii în materie fiscală, acesta având atât un sens procesual cât şi un sens material.</w:t>
      </w:r>
    </w:p>
    <w:p w14:paraId="54857C0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Sensul procesual impune ca legea să fie aplicată complet şi imparţial, fără a ţine seama de statutul contribuabilului aşa încât nimeni nu ar putea beneficia de un tratament discriminatoriu sau preferențial şi nimeni nu ar putea fi lipsit de drepturile procesuale de a contesta aplicarea legii în cazul său concre.</w:t>
      </w:r>
    </w:p>
    <w:p w14:paraId="1FF3E5A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Sensul material presupune că persoanele aflate în situaţii identice trebuie tratate identic.</w:t>
      </w:r>
    </w:p>
    <w:p w14:paraId="6ABDC142"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Doctrina a apreciat de asemenea că „principiul egalităţii ar putea fi examinat şi ca o egalitate fiscală, cu cele două componente: egalitatea verticală, care presupune că impunerea trebuie să se facă în acelaşi mod pentru toţi contribuabilii, prin excluderea oricărui privilegiu sau discriminare în aşezarea sarcinii fiscale, sau la venituri egale trebuie plătit acelaşi impozit; egalitatea orizontală presupune că impunerea trebuie să ţină cont de capacitatea contributivă a contribuabililor"15.</w:t>
      </w:r>
    </w:p>
    <w:p w14:paraId="0CABE469"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Acest aspect a fost reținut chiar de către Curtea Constituţională prin Decizia nr. 1304 din 18 ianuarie 2009, potrivit căreia „principiul așezării juste a sarcinilor fiscale impune ca plata contribuțiilor să se facă în același mod de către toţi contribuabilii, prin excluderea oricărui privilegiu sau discriminări, astfel ca, la venituri egale, contribuţia să fie aceeaşi. Acelaşi principiu presupune însă ca așezarea sarcinilor fiscale să ţină cont de capacitatea contributivă a contribuabililor, respectiv în aşezarea obligaţiilor fiscale să se ţină seama de necesitatea de protecție a păturilor sociale celor mai dezavantajate, luând în considerare elementele ce caracterizează situația individuală şi sarcinile sociale ale contribuabililor în cauză".</w:t>
      </w:r>
    </w:p>
    <w:p w14:paraId="3966450B"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De asemenea, prin Decizia nr. 3 din 6 ianuarie 1998, Curtea Constituţională a reținut că „fiscalitatea trebuie să fie nu numai legală, ci şi proporțională, rezonabilă, echitabilă şi să nu diferențieze impozitele pe criteriul grupelor sau categoriilor de cetăţeni'.</w:t>
      </w:r>
    </w:p>
    <w:p w14:paraId="237399FA"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concluzie, solicită admiterea recursului formulat.</w:t>
      </w:r>
    </w:p>
    <w:p w14:paraId="24E6E3A3" w14:textId="575C8148"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4.</w:t>
      </w:r>
      <w:r w:rsidR="00820051" w:rsidRPr="00250C7F">
        <w:rPr>
          <w:rFonts w:ascii="Times New Roman" w:hAnsi="Times New Roman"/>
          <w:sz w:val="24"/>
          <w:szCs w:val="24"/>
        </w:rPr>
        <w:t xml:space="preserve"> </w:t>
      </w:r>
      <w:r w:rsidRPr="00250C7F">
        <w:rPr>
          <w:rFonts w:ascii="Times New Roman" w:hAnsi="Times New Roman"/>
          <w:sz w:val="24"/>
          <w:szCs w:val="24"/>
        </w:rPr>
        <w:t>Apărările formulate în cauză.</w:t>
      </w:r>
    </w:p>
    <w:p w14:paraId="48B7B98F"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Intimatul-intervenient Ministerul Finanţelor Publice a depus întâmpinare prin care solicită respingerea recursului, ca nefondat.</w:t>
      </w:r>
    </w:p>
    <w:p w14:paraId="4B567884"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motivare, formulează următoarele apărări:</w:t>
      </w:r>
    </w:p>
    <w:p w14:paraId="4F5A4A6D"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Instanţa de fond în mod corect a apreciat că dispoziţiile pct.94 alin.1 lit.c din H.G. nr.1/2016 pentru aprobarea Normelor metodologice de aplicare a Legii nr. 227/2015 privind Codul fiscal, a căror anulare a fost solicitată, au fost emise cu respectarea prevederilor art.108 din Constituţia României, precum şi a celor reglementate de art.4 alin.3 din Legea nr.24/2000 privind normele de tehnică legislativă pentru elaborarea actelor normative, republicată, cu modificările şi completările ulterioare.</w:t>
      </w:r>
    </w:p>
    <w:p w14:paraId="55E615B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lastRenderedPageBreak/>
        <w:t>Astfel, prin dispozițiile pct.94 alin.1 lit.c din H.G. nr.1/2016 pentru aprobarea Normelor metodologice de aplicare a Legii nr. 227/2015 privind Codul fiscal, se stabileşte că scutirea de la plata accizelor prevăzută la art.399 alin.1 lit.c. d si h din Legea nr.227/2015 privind Codul fiscal, cu modificările şi completările ulterioare (în continuare, „Codul fiscal") se acordă direct dacă cărbunele şi cocsul reglementate la art.355 alin.3 lit.h din Codul fiscal provin de la operatorii economici prevăzuţi la pct.16 alin.1.</w:t>
      </w:r>
    </w:p>
    <w:p w14:paraId="76DB9FFC"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Potrivit art.399 alin.1 lit.c, d şi h din Codul fiscal sunt scutite de la plata accizelor, produsele energetice şi energia electrică utilizate pentru producţia de energie electrică, precum şi energia electrică utilizată pentru menținerea capacității de a produce energie electrică, produsele energetice şi energia electrică utilizate pentru producția combinată de energie electrică şi energie termică, precum şi produsele energetice injectate în furnale sau în alte agregate industriale în scop de reducere chimică, ca aditiv la cocsul utilizat drept combustibil principal.</w:t>
      </w:r>
    </w:p>
    <w:p w14:paraId="62958194"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Este important de menționat faptul ca prevederile art.16 alin.1 din H.G. nr.1/2016 stabilesc faptul că operatorii economici care extrag cărbune, produc cocs precum şi cei care efectuează achiziții intracomunitare sau importă astfel de produse se înregistrează la autoritatea fiscală teritorială.</w:t>
      </w:r>
    </w:p>
    <w:p w14:paraId="1C98EE7F"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De asemenea, potrivit dispoziţiilor art.357 din Codul fiscal, cărbunele, cocsul şi lignitul sunt supuse accizelor şi accizele devin exigibile la momentul livrării acestora în România de către operatorii economici producători sau de către operatorii economici care efectuează achiziții intracomunitare ori care importă astfel de produse.</w:t>
      </w:r>
    </w:p>
    <w:p w14:paraId="32024EE9"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Plata accizelor se realizează conform art.341 Cod fiscal de către persoanele care dețin produsele accizabile, cele care produc produse accizabile sau cele care declară produsele accizabile sau pe seama căreia produsele sunt declarate la momentul importului.</w:t>
      </w:r>
    </w:p>
    <w:p w14:paraId="1D9A132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ceea ce priveşte importul de produse accizabile, obligat la plata accizelor este importatorul produselor la momentul introducerii acestora pe piaţa Uniunii Europene; totodată, cei care produc cocs sau extrag petrol în România sunt obligaţi să achite acciza la momentul punerii în vânzare a produselor accizabile.</w:t>
      </w:r>
    </w:p>
    <w:p w14:paraId="3ADD256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Un alt aspect relevant în soluţionarea cauzei îl constituie şi faptul că pentru produsele energetice achiziționate intracomunitar, obligat la plata accizelor este operatorul autorizat ca destinatar înregistrat, la momentul recepției produselor în România. întrucât acestea nu au fost eliberate în consum în statul membru de producţie/extracţie si, ca atare, acciza nu a devenit exigibilă, aceasta urmând a fi datorată în statul de consum.</w:t>
      </w:r>
    </w:p>
    <w:p w14:paraId="50F05AF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De asemenea, pentru produsele energetice achiziționate dintr-un stat membru care au fost eliberate anterior pentru consum în acel stat membru şi pentru care s-a plătit acciza în statul membru respectiv, acciza se datorează în statul de consum.</w:t>
      </w:r>
    </w:p>
    <w:p w14:paraId="2FDDEC27"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Astfel, după recepția produselor în România, acciza devenită exigibilă se plătește către statul român, expeditorul urmând a se adresa statului membru de expediție în vederea recuperării accizei. Textul art.339 alin.1 din Codul fiscal stabilește că accizele devin exigibile în momentul eliberării pentru consum şi în statul membru în care se face eliberarea pentru consum.</w:t>
      </w:r>
    </w:p>
    <w:p w14:paraId="6FB95FC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Analizând dispozițiile legale mai sus menționate, instanța de fond corect a apreciat că aplicarea scutirii de la plata accizei se realizează la prima verigă a lanțului tranzacțional specific, respectiv că nu vor fi obligaţi la plata taxei, fiind astfel scutiţi de la plata accizelor pentru produsele energetice utilizate pentru producţia combinată de energie electrică şi energie termică, </w:t>
      </w:r>
      <w:r w:rsidRPr="00250C7F">
        <w:rPr>
          <w:rFonts w:ascii="Times New Roman" w:hAnsi="Times New Roman"/>
          <w:sz w:val="24"/>
          <w:szCs w:val="24"/>
        </w:rPr>
        <w:lastRenderedPageBreak/>
        <w:t>operatorii economici care extrag cărbune, produc cocs, precum şi cei care efectuează achiziţii intracomunitare sau importă astfel de produse.</w:t>
      </w:r>
    </w:p>
    <w:p w14:paraId="359BECF9"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Astfel, judecătorul fondului a reţinut că textele mai sus expuse reglementează posibilitatea acordării scutirii directe numai către beneficiarii efectivi ai scutirii, respectiv centralele de producţie de energie electrică sau producţie combinată de energie electrică şi termică iar pentru destinatarii înregistraţi, importatorii sau operatorii economici prevăzuţi la pct.94 alin. 1 lit.c din normele metodologice, care achiziţionează produse energetice în vederea livrării în regim de scutire directă către centralele de producţie de energie electrică sau producţie combinată de energie electrică şi termică, exigibilitatea accizelor intervine la momentul recepţiei, importului sau al achiziției, deci tot prima verigă din lanţul de tranzacționare către beneficiarii efectivi ai scutirii (pagina 12 paragraful 5 din hotărârea atacată).</w:t>
      </w:r>
    </w:p>
    <w:p w14:paraId="39DECF38"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Faţă de cele mai sus, afirmația societății în sensul că ar exista un regim juridic diferit aplicabil operatorilor economici care achiziționează produsele energetice intracomunitar şi cei care achiziționează același tip de produse de pe piața internă este nesustenabilă.</w:t>
      </w:r>
    </w:p>
    <w:p w14:paraId="33C06B1D"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Mai ales, în condițiile în care dispozițiile reglementate la titlul VIII din Codul fiscal în mare parte nu reprezintă altceva decât transpunerea Directivei 2003/96/ CE privind restructurarea cadrului comunitar de impozitare a produselor energetice; corelativ Normele metodologice nu fac altceva decât să expliciteze cât mai precis şi în amănunt, modul de interpretare şi de aplicare a acelor articole din Codul fiscal cu privire la care atât organele fiscale cat şi contribuabilii au neclarități în interpretare şi/sau în aplicare.</w:t>
      </w:r>
    </w:p>
    <w:p w14:paraId="77DA1438"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Astfel, este greșită susținerea recurentei-reclamante potrivit căreia prin Normele metodologice prevederile Codului fiscal şi ale Directivei sunt incorect aplicate şi respectiv implementate, în sensul în care scutirea este acordată în alte condiții decât cele prevăzute de norma superioară, întrucât modalitatea şi condițiile de acordare a scutirii prin normele metodologice reprezintă prerogativul recunoscut statelor membre de a stabili condițiile ce au ca obiect asigurarea aplicării corecte a respectivelor scutiri şi evitarea oricărei evaziuni, eludări sau abuz.</w:t>
      </w:r>
    </w:p>
    <w:p w14:paraId="04469CA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De asemenea, eronată este şi afirmaţia potrivit căreia prin Normele Metodologice s-ar restrânge aria de aplicabilitate a scutirilor respective, fiind favorizaţi producătorii, comercianţii care achiziţionează produse energetice din alte state membre sau cei care importă produse din afara spaţiului Uniunii Europene în detrimentul comercianților care efectuează achiziții din producția internă în condiţiile în care intenția legiuitorului român a fost aceea de a crea un instrument eficient de urmărire a livrărilor de produse energetice utilizate într-un scop scutit.</w:t>
      </w:r>
    </w:p>
    <w:p w14:paraId="23F3C919"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Un alt aspect relevant în cauză este şi acela că alin.2 al art.399 din Codul fiscal stabileşte indubitabil că modalitatea şi condiţiile de acordare a scutirilor prevăzute la alin.1 se reglementează prin Normele metodologice.</w:t>
      </w:r>
    </w:p>
    <w:p w14:paraId="5A767A2E"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Altfel spus, legiuitorul a lăsat la latitudinea autorităţii publice de modalitatea şi condiţiile de acordare a scutirilor de la plata accizei, stabilind o delegare a competenţei de reglementare, de la legiuitorul primar - Parlamentul României către legiuitorul secundar- Guvernul României.</w:t>
      </w:r>
    </w:p>
    <w:p w14:paraId="0E3A1619"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De altfel, constituționalitatea (implicit legalitatea) art.5 alini şi alin.3 şi a art.6 alin.1 din Legea nr.571/2003 privind Codul fiscal, cu modificările şi completările ulterioare, a fost verificată de către Curtea Constituţională. Astfel, prin decizia nr.424/2013, instanţa de contencios constituţional a reţinut în esenţă că potrivit art.108 alin.1 şi 2 din Constituţie, Guvernul adoptă hotărâri, care se emit pentru organizarea executării legilor. Astfel, în exercitarea atribuţiilor sale, </w:t>
      </w:r>
      <w:r w:rsidRPr="00250C7F">
        <w:rPr>
          <w:rFonts w:ascii="Times New Roman" w:hAnsi="Times New Roman"/>
          <w:sz w:val="24"/>
          <w:szCs w:val="24"/>
        </w:rPr>
        <w:lastRenderedPageBreak/>
        <w:t>Guvernul adoptă, pe baza şi în vederea executării legii, acte normative de reglementare a relațiilor sociale în diverse domenii.</w:t>
      </w:r>
    </w:p>
    <w:p w14:paraId="656E795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De asemenea, Parlamentul, ca unică putere legiuitoare a ţării, poate împuternici Guvernul să reglementeze anumite aspecte prin acte normative specifice, în temeiul dispoziţiilor art.108 din Constituţia României. În ceea ce priveşte noţiunea de "organizarea executării legii", consacrată de dispoziţiile art. 108 alin.2 din Constituţie, Curtea, prin Decizia nr.535 din 7 decembrie 2004, publicată în Monitorul Oficial al României, Partea I, nr. 75 din 21 ianuarie 2005, a stabilit că aceasta are un sens mai larg decât cea privind aplicarea legii, şi anume prin hotărâri ale Guvernului pot fi dispuse măsuri organizatorice, financiare, instituționale sau sancţionatorii în vederea stabilirii cadrului necesar pentru ducerea la îndeplinire a dispoziţiilor legii. </w:t>
      </w:r>
    </w:p>
    <w:p w14:paraId="5A31407D"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cazul în care normele metodologice de aplicare a Codului fiscal (aprobate prin hotărâre a Guvernului) încalcă legea sau adaugă la dispoziţiile legii, acestea pot fi atacate în faţa instanţei de contencios administrativ, care, verificând conținutul hotărârii Guvernului, poate să statueze, cu ocazia efectuării controlului specific, asupra conformității dispoziţiilor acestora cu actul normativ cu forţă juridică superioară.</w:t>
      </w:r>
    </w:p>
    <w:p w14:paraId="2E83E55C"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cuprinsul hotărârii recurate, instanța de fond în mod corect a apreciat asupra incidenței în cauză a deciziei nr.424/2013 pronunțate de Curtea Constituţională.</w:t>
      </w:r>
    </w:p>
    <w:p w14:paraId="1502CE1F"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Cu privire la aceste aspecte, prin calea de atac promovată, recurenta-reclamantă a preferat să reitereze apărările formulate în faţa instanţei de fond, fără a combate cu argumente valide considerentele hotărârii contestate, susţinând în esenţă că instanţa de fond nu ar fi avut în vedere, la momentul pronunţării soluţiei, prevederile legislaţiei în materie de tehnică legislativă.</w:t>
      </w:r>
    </w:p>
    <w:p w14:paraId="27AA2A9E"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Având în vedere cele menţionate, instanţa de recurs urmează să constate că textul de lege a cărui anulare este solicitată nu modifică şi nici nu adaugă la prevederile legale, normele explicitând dispozițiile referitoare la condițiile stabilite de lege care nu au nici o incidență asupra caracterului cert şi previzibil al cadrului juridic incident cauzei.</w:t>
      </w:r>
    </w:p>
    <w:p w14:paraId="4631C172"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Totodată, actul normativ ce cuprinde textul de lege a cărui anulare este solicitată în faţa instanței de contencios administrativ, a fost adoptat cu respectarea atât a principiilor forţei juridice şi al ierarhiei actelor normative, reglementate de art.1 alin.5 din Constituţie respectiv art.3 alin.1 din Legea nr.24/2000.</w:t>
      </w:r>
    </w:p>
    <w:p w14:paraId="7DD70847"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De asemeneam au fost respectate şi dispoziţiile art.5 din Codul fiscal potrivit căruia, Ministerul Finanţelor Publice are atribuţia elaborării normelor metodologice necesare pentru aplicarea unitară a Codului fiscal şi a instrucţiunilor şi ordinelor necesare aplicării acestuia.</w:t>
      </w:r>
    </w:p>
    <w:p w14:paraId="3D659224"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Concluzionând, arată că, prin calea de atac promovată, recurenta-reclamanta nu a adus argumente care s-ar putea circumscrie motivelor de nelegalitate reglementate de dispoziţiile art.488 Cod procedură civilă, care să determine casarea hotărârii atacate.</w:t>
      </w:r>
    </w:p>
    <w:p w14:paraId="7CA43CC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Ţinând cont de toate aspectele precizate, solicită respingerea recursului formulat.</w:t>
      </w:r>
    </w:p>
    <w:p w14:paraId="43BC85FE"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5. Procedura de soluționare a recursului.</w:t>
      </w:r>
    </w:p>
    <w:p w14:paraId="326D4A19"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Cu privire la examinarea recursului  în completul filtru  </w:t>
      </w:r>
    </w:p>
    <w:p w14:paraId="25C07F58" w14:textId="478D93FF"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w:t>
      </w:r>
      <w:r w:rsidR="00DC6919" w:rsidRPr="00250C7F">
        <w:rPr>
          <w:rFonts w:ascii="Times New Roman" w:hAnsi="Times New Roman"/>
          <w:sz w:val="24"/>
          <w:szCs w:val="24"/>
        </w:rPr>
        <w:t xml:space="preserve"> cauză a fost parcursă procedura de regularizare a cererii de recurs şi de efectuare a comunicării actelor de procedură între părţile litigante, prevăzută de art. 486 Cod procedură civilă, coroborat cu art. 490 alin. (2), art. 4711  şi art. 201 alin. (5) şi (6) Cod procedură civilă, cu aplicarea şi a dispoziţiilor O.U.G. nr. 80/2013.</w:t>
      </w:r>
    </w:p>
    <w:p w14:paraId="64E219C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lastRenderedPageBreak/>
        <w:t>În temeiul art. 490 alin.(2), coroborat cu art.4711  şi art.201 alin.(5) şi (6) Cod procedură civilă, prin rezoluţia din data de 05 martie 2020, s-a fixat termen de judecată pentru soluţionarea cererilor de recurs la data de 03 martie 2021, în şedinţă publică, cu citarea părţilor.</w:t>
      </w:r>
    </w:p>
    <w:p w14:paraId="5103B3B8"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6. Soluția instanței de recurs</w:t>
      </w:r>
    </w:p>
    <w:p w14:paraId="16127E2D"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Examinând sentinţa atacată, în raport cu actele şi lucrările dosarului, precum şi cu dispoziţiile legale incidente în cauză, prin prisma criticilor şi apărărilor formulate, Înalta Curte va admite recursul, având în vedere următoarele considerente:</w:t>
      </w:r>
    </w:p>
    <w:p w14:paraId="5E7F4024"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Obiectul acţiunii în contencios administrativ îl constituie anularea, în parte, a Hotărârii de Guvern nr. 1/2016 pentru aprobarea Normelor metodologice de aplicare a Legii nr. 227/2015 privind Codul fiscal cu privire la punctul 94 alin. 1 lit. c din aceste norme. </w:t>
      </w:r>
    </w:p>
    <w:p w14:paraId="52CC7CF8"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În motivare acțiunii reclamanta a arătat că societatea are ca obiect principal de activitate comerțul cu ridicata al combustibililor solizi, lichizi și gazoși al produselor derivate. În concret, societatea achiziționează cărbune de la diverși producători și livrează acest cărbune către diverși destinatari, între care se numără și companii de termoficare, comercializând produse energetice care sunt scutite de la plata accizelor în conformitate cu dispoziţiile art. 399 alin.(1) lit.d) din Legea nr. 227/2015 privind Codul fiscal, cu toate acestea organele fiscale i-au refuzat dreptul la restituirea accizelor plătite pentru produsele energetice care au fost utilizate pentru producţia combinată de energie electrică şi termică. </w:t>
      </w:r>
    </w:p>
    <w:p w14:paraId="09E31269" w14:textId="432D4850"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În justificarea refuzului formulat organele fiscale au invocat prevederile punctului 94 lit.c din Normele Metodologice de aplicare a Legii nr. 227/2015 privind Codul fiscal, susţinând, în esenţă, că operatorii economici care efectuează achiziţii interne de produse energetice nu beneficiază de scutirea menţionată de art. 399 alin.(1) lit.d) Legea nr. 227/2015 privind Codul fiscal, chiar dacă produsul este utilizat în conformitate cu destinaţia stabilită de acest articol. </w:t>
      </w:r>
    </w:p>
    <w:p w14:paraId="6745F13A" w14:textId="7668B5E0"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Înalta Curte reţine că în efectuarea controlului judiciar prezintă relevanţă următoarele dispoziţii de drept fiscal:</w:t>
      </w:r>
    </w:p>
    <w:p w14:paraId="014428EC"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Potrivit dispozițiilor at. 399 alin. 1 lit. d) din Codul fiscal, sunt scutite de la plata accizelor produsele energetice şi energia electrică utilizate pentru producția combinată de energie electrică şi energie termică. </w:t>
      </w:r>
    </w:p>
    <w:p w14:paraId="2EE299F6" w14:textId="6217BACF"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conformitate cu prevederile art. 399 alin. (2) Cod fiscal, modalitatea şi condițiile de acordare a scutirilor prevăzute la alin. (1) se reglementează prin normele metodologice.</w:t>
      </w:r>
    </w:p>
    <w:p w14:paraId="46393CFF"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Dispozițiile art. 339 alin. (1) Cod fiscal stabilesc că accizele devin exigibile în momentul eliberării pentru consum şi în statul membru în care se face eliberarea pentru consum. </w:t>
      </w:r>
    </w:p>
    <w:p w14:paraId="1CE5E4AF"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Potrivit dispoziţiilor art. 15 lit. c) din Directiva 2003/96/CE, „Fără a aduce atingere altor dispoziții comunitare, statele membre pot aplica sub control fiscal scutiri totale sau parțiale sau reduceri ale nivelului de impozitare la: (...)</w:t>
      </w:r>
    </w:p>
    <w:p w14:paraId="3A82C7DE"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(c) produse energetice și electricitate utilizate pentru producerea combinată de căldură și energie;”</w:t>
      </w:r>
    </w:p>
    <w:p w14:paraId="463A75A0"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Potrivit dispozițiilor art. 94 alin. 1 lit. c din Normele Metodologice de aplicare a Legii nr. 227/2015 privind Codul fiscal, aprobate prin H.G. nr. 1/2016, scutirea de la plata accizelor prevăzută la art. 399 alin. (1) lit. c), d) şi h) din Codul fiscal se acordă direct dacă cărbunele şi cocsul de la art. 355 alin. (3) lit. h) din Codul fiscal provin de la operatorii economici prevăzuți la pct. 16 alin. (1).</w:t>
      </w:r>
    </w:p>
    <w:p w14:paraId="4BBF5D21"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De asemenea, dispozițiile metodologice de la art. 16 alin. 1 stabilesc că, în aplicarea art. 357 din Codul fiscal, operatorii economici care extrag cărbune, produc cocs, precum şi cei care </w:t>
      </w:r>
      <w:r w:rsidRPr="00250C7F">
        <w:rPr>
          <w:rFonts w:ascii="Times New Roman" w:hAnsi="Times New Roman"/>
          <w:sz w:val="24"/>
          <w:szCs w:val="24"/>
        </w:rPr>
        <w:lastRenderedPageBreak/>
        <w:t>efectuează achiziții intracomunitare sau importă astfel de produse se înregistrează la autoritatea fiscală teritorială.</w:t>
      </w:r>
    </w:p>
    <w:p w14:paraId="0764AB4F"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aplicarea dispoziţiilor art. 339 C fiscal, prima instanţă a conchis că posibilitatea acordării scutirii directe este recunoscută numai pentru beneficiarii efectivi ai scutirii, respectiv centralele de producție de energie electrică sau producție combinată de energie electrică și termică iar pentru destinatarii înregistrați, importatorii sau operatorii economici prevăzuți la pct. 94 alin. 1 lit. c din normele metodologice, care achiziționează produse energetice în vederea livrării în regim de scutire directă către centralele de producție de energie electrică sau producție combinată de energie electrică și termică, exigibilitatea accizelor intervine la momentul recepției, importului sau al achiziției, deci tot prima verigă din lanțul de tranzacționare către beneficiarii efectivi ai scutirii.</w:t>
      </w:r>
    </w:p>
    <w:p w14:paraId="3C0CB3E4"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Trebuie reținut că hotărârile Guvernului de organizare a executării legii se adoptă întotdeauna în baza acesteia, fiind acte infralegale care pun în aplicare sau duc la îndeplinire o lege sau dispoziții din acestea. </w:t>
      </w:r>
    </w:p>
    <w:p w14:paraId="4E5E028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Prin decizia nr. 424/2013 publicată în Monitorul Oficial al României nr. 15 din 10.01.2014, Curtea Constituțională a reținut că „Parlamentul, poate împuternici Guvernul să reglementeze anumite aspecte prin acte normative specifice, în temeiul dispozițiilor art. 108 din Constituția României.”</w:t>
      </w:r>
    </w:p>
    <w:p w14:paraId="0793C09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acest context Curtea Constituțională a apreciat că noțiunea de organizare a executării legii are un sens mai larg decât cea privind aplicarea legii, Guvernul putând dispune diverse măsuri în vederea stabilirii cadrului necesar pentru ducerea la îndeplinire a dispozițiilor legii. Astfel, în cazul în care există o delegare specială din partea puterii legislative, administrația poate adopta acte cu caracter normativ prin care să reglementeze domenii sociale în mod primar, alături de actul legislativ al Parlamentului.</w:t>
      </w:r>
    </w:p>
    <w:p w14:paraId="4A4F7E79"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Prima instanţă a reţinut că prevederile art. 399 din Legea nr. 227/2015 privind Codul Fiscal, cu modificările și completările ulterioare, în vigoare începând cu data de 01.01.2016, transpun în legislația națională scutirea de la plata accizelor prevăzută la art. 15 lit. c) din Directiva 2003/96/CE a Consiliului din 27 octombrie 2003 privind restructurarea cadrului comunitar de impozitare a produselor energetice, dispoziţii în baza cărora scutirea de la plata accizelor este o posibilitate, o prerogativă a statelor membre, iar  nu o obligație imperativă.</w:t>
      </w:r>
    </w:p>
    <w:p w14:paraId="66B3D53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Înalta Curte apreciază, în acord cu susţinerile recurentei reclamante, că, chiar dacă este la latitudinea statelor membre modalitatea de implementare a condițiilor de stabilire a taxării produselor energetice și electricitate utilizate pentru producerea combinată de căldură și energie, punerea în aplicare a acestei măsuri trebuie realizată cu respectarea principiului nediscriminării.</w:t>
      </w:r>
    </w:p>
    <w:p w14:paraId="1C06FF4A"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Or, în situaţia de faţă, Înalta Curte apreciază că prevederile Codului fiscal şi ale Directivei sunt incorect aplicate, întrucât, modul în care scutirea este reglementată prin normele metodologice adoptate conduc la o limitare a sferei de beneficiari ai scutirii, limitare care creează o stare de discriminare între comercianți, fără a avea în vedere utilizarea efectivă a produsului, singurul criteriu obiectiv în baza căruia scutirea de la plata accizelor trebuie recunoscută.</w:t>
      </w:r>
    </w:p>
    <w:p w14:paraId="537C73BA"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În această ordine de idei trebuie observat că nici pârâta şi nici intervenienta în interesul acesteia nu au invocat criterii obiective care să justifice deosebirea de tratament de care beneficiază operatorii economici care efectuează achiziţii intracomunitare sau importuri din statate terţe, nemembre UE, faţă de operatorii economici care achiziţionează astfel de produse pe plan naţional, deşi aceste categorii, deopotrivă, efectuează livrări în scopul unor activităţi scutite </w:t>
      </w:r>
      <w:r w:rsidRPr="00250C7F">
        <w:rPr>
          <w:rFonts w:ascii="Times New Roman" w:hAnsi="Times New Roman"/>
          <w:sz w:val="24"/>
          <w:szCs w:val="24"/>
        </w:rPr>
        <w:lastRenderedPageBreak/>
        <w:t xml:space="preserve">de accize, comercializând produse energetice pe plan naţional fără a avea calitatea de producători, ca atare, se află în situaţii similare. </w:t>
      </w:r>
    </w:p>
    <w:p w14:paraId="68708919"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concluzie, sunt întemeiate criticile invocate de către reclamantă conform cărora prevederile Codului Fiscal și ale Directivei sunt incorect aplicate și respectiv implementate, întrucât scutirea este acordată în alte condiții decât cele prevăzute în norma superioară. Cu alte cuvinte, dacă la art. 399 alin. 1 lit.d C.fiscal, s-a statuat că scutirea vizează produsele energetice şi energia electrică utilizate pentru producția combinată de energie electrică şi energie termică, sfera de beneficiari ai scutirii nu poate fi reglementată prin normele metodologice de aplicare în raport de sursa de aprovizionare a respectivelor produse. Mai mult, modalitatea si condițiile de acordare a scutirii nu poate conduce la ipoteze în care produsul final să includă accize dacă acestea încorporează produse energetice livrate de comercianții care operează pe plan național.</w:t>
      </w:r>
    </w:p>
    <w:p w14:paraId="40487ED1"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Față de cele reținute, este lipsită de fundament concluzia primei instanțe în sensul că plata accizei și, implicit, aplicarea scutirii, se realizează la prima verigă a lanțului tranzacțional specific, respectiv că doar operatorii care se situează la prima verigă a lanțului de tranzacționare nu vor fi obligați la plata accizei, ceea ce determină concluzia în sensul că vor fi scutiți de la plata accizelor pentru produsele energetice utilizate pentru producția combinată de energie electrică și energie termică, doar persoanele care extrag cărbune, produc cocs, precum și cei care efectuează achiziții intracomunitare sau importă astfel de produse.</w:t>
      </w:r>
    </w:p>
    <w:p w14:paraId="3835DFA2"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Drept urmare, Înalta Curte achiesează la concluzia recurentei reclamante în sensul că prima instanţă a concluzionat, cu greşita aplicare a dispoziţiilor art. 399 din Codul fiscal, că plata accizei şi, implicit, aplicarea scutirii se realizează la prima verigă a lanțului tranzacțional specific, respectiv că nu vor fi obligaţi la plata taxei, fiind astfel scutiţi de la plata accizelor pentru produsele energetice utilizate pentru producţia combinata de energie electrică şi energie termică, persoanele care extrag cărbune, produc cocs, precum şi cei care efectuează achiziții intracomunitare sau importă astfel de produse."</w:t>
      </w:r>
    </w:p>
    <w:p w14:paraId="05D11D2D"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conformitate cu prevederile punctului 94 al Normelor metodologice pentru aplicarea art. 399 din Codul fiscal:</w:t>
      </w:r>
    </w:p>
    <w:p w14:paraId="4258FA39"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„(5) Destinatarii înregistrați, importatorii sau operatorii economici prevăzuți la alin. (1), care achiziționează produse energetice în vederea livrării în regim de scutire directă către centralele de producţie de energie electrică sau producţie combinată de energie electrică şi termică, livrează produsele la preturi fără accize şi solicită autorității fiscale teritoriale restituirea accizelor aferente cantităților livrate cu această destinație care au fost plătite, după caz, la momentul recepției, importului sau al achiziţiei."</w:t>
      </w:r>
    </w:p>
    <w:p w14:paraId="6A84435B"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Aşa fiind, în mod eronat conchide instanţa de fond că „nu vor fi obligaţi la plata taxei, fiind astfel scutiţi de la plata accizelor pentru produsele energetice utilizate pentru producţia combinata de energie electrică şi energie termică, persoanele care extrag cărbune, produc cocs, precum şi cei care efectuează achiziţii intracomunitare sau importă astfel de produse". O parte din aceşti operatori sunt în fapt obligaţi la plata accizei şi nu beneficiază de scutire directă asemenea operatorilor economici care produc energie electrică şi energie termică combinată.</w:t>
      </w:r>
    </w:p>
    <w:p w14:paraId="6F18F46A"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consecință, Înalta Curte nu poate împărtăși opinia instanței de fond în sensul în care „prin regimul de taxare al accizelor pentru produsele energetice se urmăreşte acordarea scutirii directe numai de către beneficiarii efectivi ai scutiri", întrucât cele două noțiuni nu au același înțeles.</w:t>
      </w:r>
    </w:p>
    <w:p w14:paraId="2B65781A"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lastRenderedPageBreak/>
        <w:t>În vederea respectării principiului nediscriminării, este necesară reglementarea explicită a cazurilor de scutire directă distinct de cea indirectă pentru toţi beneficiarii scutirii de accize care se încadrează la situaţiile prevăzute de art. 399 Cod fiscal, fără a exclude operatorii economici care achiziționează produsele în cauză de pe piaţa națională.</w:t>
      </w:r>
    </w:p>
    <w:p w14:paraId="6EBD3F01"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concret, reglementarea condițiilor de acordare a scutirii de accize prin norme metodologice trebuie să privească produsul energetic în sine şi presupune:</w:t>
      </w:r>
    </w:p>
    <w:p w14:paraId="6D270717" w14:textId="258BEE02"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 </w:t>
      </w:r>
      <w:r w:rsidR="00DC6919" w:rsidRPr="00250C7F">
        <w:rPr>
          <w:rFonts w:ascii="Times New Roman" w:hAnsi="Times New Roman"/>
          <w:sz w:val="24"/>
          <w:szCs w:val="24"/>
        </w:rPr>
        <w:t>Scutirea directă: de care pot beneficia operatorii economici care livrează produse energetice către centrale la preţuri fără accize, urmată de</w:t>
      </w:r>
    </w:p>
    <w:p w14:paraId="0D47F5C5" w14:textId="2BC22682" w:rsidR="00DC6919" w:rsidRPr="00250C7F" w:rsidRDefault="00820051"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 </w:t>
      </w:r>
      <w:r w:rsidR="00DC6919" w:rsidRPr="00250C7F">
        <w:rPr>
          <w:rFonts w:ascii="Times New Roman" w:hAnsi="Times New Roman"/>
          <w:sz w:val="24"/>
          <w:szCs w:val="24"/>
        </w:rPr>
        <w:t>Scutire indirectă, care trebuie recunoscută operatorilor economici care solicită autorităţii fiscale teritoriale restituirea accizelor aferente cantităților livrate către centrale dacă fac dovada modului în care au fost utilizate produsele energetice livrate.</w:t>
      </w:r>
    </w:p>
    <w:p w14:paraId="1CAC362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caz contrar, dacă operatorului economic care a livrat centralei nu i se restituie acciza plătită, după ce s-a făcut dovada modului de utilizare a produsului energetic, atunci se ajunge la situația în care pentru acest produs rămâne accizat si se încalcă dispozițiile art. 399 alin. (1) lit. d) din Codul fiscal.</w:t>
      </w:r>
    </w:p>
    <w:p w14:paraId="15A61065"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acelaşi timp, dacă anumitor operatori economici li se permite restituirea accizei însă altor operatori economici, aflaţi într-o situaţie similară, nu li se permite restituirea accizei, se produce discriminarea între operatori economici precum şi distorsionarea condițiilor concurențiale, încălcându-se art. 8 alin. (1) lit. (b) din Legea nr. 21/1996.</w:t>
      </w:r>
    </w:p>
    <w:p w14:paraId="1ECFBC33"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final, Înalta Curte apreciază, contrar celor reţinute de prima instanţă, că sunt întemeiate şi susţinerile recurentei reclamante care privesc încălcarea dispozițiilor constituționale prevăzute la art. 135, care statuează principiile economiei de piaţă, potrivit cărora:</w:t>
      </w:r>
    </w:p>
    <w:p w14:paraId="2273AB46"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„(1) Economia României este economie de piaţă, bazată pe libera iniţiativă şi concurenţă.</w:t>
      </w:r>
    </w:p>
    <w:p w14:paraId="4A7E5F7D"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(2) Statul trebuie să asigure:</w:t>
      </w:r>
    </w:p>
    <w:p w14:paraId="6D222E0D"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a) libertatea comerţului, protecţia concurenţei loiale, crearea cadrului favorabil pentru valorificarea tuturor factorilor de producţie;”. </w:t>
      </w:r>
    </w:p>
    <w:p w14:paraId="534D9B4A"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Este neconcludentă apărarea intimatei, din perspectiva dispoziţiilor legale încălcate, prin care se arată că prin normele metodologice adoptate s-a urmărit crearea unui instrument eficient de urmărire a livrărilor de produse energetice utilizate într-un scop scutit, întrucât acest scop se putea atinge şi fără a restrânge aria de aplicabilitate a scutirilor respective prin favorizarea operatorilor care achiziționează produse energetice din alte state membre UE sau a celor care importă produse din afara spaţiului Uniunii Europene pentru a le comercializa pe teritoriul naţional, în detrimentul comercianților care efectuează achiziții şi livrări din producția internă.</w:t>
      </w:r>
    </w:p>
    <w:p w14:paraId="634B3561"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Având în vedere cele reţinute, Înalta Curte consideră că dispozițiile pct.94 alin.1 lit.c din H.G. nr.1/2016 pentru aprobarea Normelor metodologice de aplicare a Legii nr. 227/2015 privind Codul fiscal au fost emise cu nerespectarea prevederilor art. 399 alin. (1) lit. d) din Codul fiscal, ale art.108 şi 135 din Constituţia României, precum şi ale dispoziţiilor art.4 alin.(3) din Legea nr.24/2000 privind normele de tehnică legislativă pentru elaborarea actelor normative, republicată, cu modificările şi completările ulterioare.</w:t>
      </w:r>
    </w:p>
    <w:p w14:paraId="574BBFBA" w14:textId="77777777"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În concluzie, este incident motivul de casare prevăzut de art. 488 alin.(1) pct.8 Cod de procedură civilă-  normele de drept fiscal fiind greşit aplicate.</w:t>
      </w:r>
    </w:p>
    <w:p w14:paraId="10071538" w14:textId="53ACCC15" w:rsidR="00DC6919" w:rsidRPr="00250C7F" w:rsidRDefault="00DC6919" w:rsidP="00DC6919">
      <w:pPr>
        <w:spacing w:after="0" w:line="276" w:lineRule="auto"/>
        <w:ind w:firstLine="709"/>
        <w:jc w:val="both"/>
        <w:rPr>
          <w:rFonts w:ascii="Times New Roman" w:hAnsi="Times New Roman"/>
          <w:sz w:val="24"/>
          <w:szCs w:val="24"/>
        </w:rPr>
      </w:pPr>
      <w:r w:rsidRPr="00250C7F">
        <w:rPr>
          <w:rFonts w:ascii="Times New Roman" w:hAnsi="Times New Roman"/>
          <w:sz w:val="24"/>
          <w:szCs w:val="24"/>
        </w:rPr>
        <w:t>7.</w:t>
      </w:r>
      <w:r w:rsidR="00332ED0" w:rsidRPr="00250C7F">
        <w:rPr>
          <w:rFonts w:ascii="Times New Roman" w:hAnsi="Times New Roman"/>
          <w:sz w:val="24"/>
          <w:szCs w:val="24"/>
        </w:rPr>
        <w:t xml:space="preserve"> </w:t>
      </w:r>
      <w:r w:rsidRPr="00250C7F">
        <w:rPr>
          <w:rFonts w:ascii="Times New Roman" w:hAnsi="Times New Roman"/>
          <w:sz w:val="24"/>
          <w:szCs w:val="24"/>
        </w:rPr>
        <w:t xml:space="preserve">Temeiul legal al soluţiei adoptate în recurs </w:t>
      </w:r>
    </w:p>
    <w:p w14:paraId="10CB40CF" w14:textId="63DC8A33" w:rsidR="00C45BAA" w:rsidRPr="00250C7F" w:rsidRDefault="00DC6919" w:rsidP="00332ED0">
      <w:pPr>
        <w:spacing w:after="0" w:line="276" w:lineRule="auto"/>
        <w:ind w:firstLine="709"/>
        <w:jc w:val="both"/>
        <w:rPr>
          <w:rFonts w:ascii="Times New Roman" w:hAnsi="Times New Roman"/>
          <w:sz w:val="24"/>
          <w:szCs w:val="24"/>
        </w:rPr>
      </w:pPr>
      <w:r w:rsidRPr="00250C7F">
        <w:rPr>
          <w:rFonts w:ascii="Times New Roman" w:hAnsi="Times New Roman"/>
          <w:sz w:val="24"/>
          <w:szCs w:val="24"/>
        </w:rPr>
        <w:t xml:space="preserve">Pentru considerentele expuse, Înalta Curte, în temeiul dispoziţiilor art.20 alin.(3) din Legea contenciosului administrativ nr. 554/2004, cu modificările și completările ulterioare, coroborat cu </w:t>
      </w:r>
      <w:r w:rsidRPr="00250C7F">
        <w:rPr>
          <w:rFonts w:ascii="Times New Roman" w:hAnsi="Times New Roman"/>
          <w:sz w:val="24"/>
          <w:szCs w:val="24"/>
        </w:rPr>
        <w:lastRenderedPageBreak/>
        <w:t>art. 496 alin.(1) Cod procedură civilă, a admis recursul declarat, a casat sentința recurată</w:t>
      </w:r>
      <w:r w:rsidR="00332ED0" w:rsidRPr="00250C7F">
        <w:rPr>
          <w:rFonts w:ascii="Times New Roman" w:hAnsi="Times New Roman"/>
          <w:sz w:val="24"/>
          <w:szCs w:val="24"/>
        </w:rPr>
        <w:t xml:space="preserve"> şi a admis acţiunea formulată.</w:t>
      </w:r>
    </w:p>
    <w:p w14:paraId="4ED04489" w14:textId="3A43EF25" w:rsidR="003D5FDA" w:rsidRPr="00250C7F" w:rsidRDefault="003D5FDA" w:rsidP="00891584">
      <w:pPr>
        <w:spacing w:after="0" w:line="276" w:lineRule="auto"/>
        <w:jc w:val="both"/>
        <w:rPr>
          <w:rFonts w:ascii="Times New Roman" w:eastAsia="Times New Roman" w:hAnsi="Times New Roman" w:cs="Times New Roman"/>
          <w:b/>
          <w:bCs/>
          <w:sz w:val="24"/>
          <w:szCs w:val="24"/>
        </w:rPr>
      </w:pPr>
    </w:p>
    <w:p w14:paraId="2CB9861D" w14:textId="0078C4ED" w:rsidR="000303CA" w:rsidRPr="00250C7F" w:rsidRDefault="00156F37" w:rsidP="000303CA">
      <w:pPr>
        <w:pStyle w:val="Heading1"/>
        <w:spacing w:line="276" w:lineRule="auto"/>
        <w:rPr>
          <w:sz w:val="24"/>
          <w:szCs w:val="24"/>
          <w:lang w:val="ro-RO"/>
        </w:rPr>
      </w:pPr>
      <w:bookmarkStart w:id="36" w:name="_Toc84584819"/>
      <w:r w:rsidRPr="00250C7F">
        <w:rPr>
          <w:sz w:val="24"/>
          <w:szCs w:val="24"/>
          <w:lang w:val="ro-RO"/>
        </w:rPr>
        <w:t>DREPT PENAL</w:t>
      </w:r>
      <w:bookmarkEnd w:id="36"/>
    </w:p>
    <w:p w14:paraId="40250FF5" w14:textId="5519BD2C" w:rsidR="001C6535" w:rsidRPr="00250C7F" w:rsidRDefault="001C6535" w:rsidP="00891584">
      <w:pPr>
        <w:spacing w:after="0" w:line="276" w:lineRule="auto"/>
        <w:jc w:val="both"/>
        <w:rPr>
          <w:rFonts w:ascii="Times New Roman" w:eastAsia="Calibri" w:hAnsi="Times New Roman" w:cs="Times New Roman"/>
          <w:b/>
          <w:sz w:val="24"/>
          <w:szCs w:val="24"/>
        </w:rPr>
      </w:pPr>
    </w:p>
    <w:p w14:paraId="62B2E8C9" w14:textId="654647D9" w:rsidR="00044AD8" w:rsidRPr="00250C7F" w:rsidRDefault="00044AD8" w:rsidP="00CB3E33">
      <w:pPr>
        <w:pStyle w:val="Heading3"/>
        <w:spacing w:before="0" w:line="276" w:lineRule="auto"/>
        <w:jc w:val="both"/>
        <w:rPr>
          <w:rFonts w:ascii="Times New Roman" w:eastAsia="Calibri" w:hAnsi="Times New Roman" w:cs="Times New Roman"/>
          <w:b/>
          <w:color w:val="auto"/>
        </w:rPr>
      </w:pPr>
      <w:bookmarkStart w:id="37" w:name="_Toc84584820"/>
      <w:r w:rsidRPr="00250C7F">
        <w:rPr>
          <w:rFonts w:ascii="Times New Roman" w:eastAsia="Calibri" w:hAnsi="Times New Roman" w:cs="Times New Roman"/>
          <w:b/>
          <w:color w:val="auto"/>
        </w:rPr>
        <w:t xml:space="preserve">1. </w:t>
      </w:r>
      <w:r w:rsidR="00875B1F" w:rsidRPr="00250C7F">
        <w:rPr>
          <w:rFonts w:ascii="Times New Roman" w:eastAsia="Calibri" w:hAnsi="Times New Roman" w:cs="Times New Roman"/>
          <w:b/>
          <w:color w:val="auto"/>
        </w:rPr>
        <w:t>Abuz în serviciu. Sustragerea sau distrugerea de înscrisuri. Favorizarea făptuitorului. Sustragerea sau distrugerea de probe ori de înscrisuri. Recurs în casaţie. Cazul prevăzut în art. 438 alin. (1) pct. 7 C. proc. pen.</w:t>
      </w:r>
      <w:bookmarkEnd w:id="37"/>
      <w:r w:rsidR="00875B1F" w:rsidRPr="00250C7F">
        <w:rPr>
          <w:rFonts w:ascii="Times New Roman" w:eastAsia="Calibri" w:hAnsi="Times New Roman" w:cs="Times New Roman"/>
          <w:b/>
          <w:color w:val="auto"/>
        </w:rPr>
        <w:t xml:space="preserve">  </w:t>
      </w:r>
    </w:p>
    <w:p w14:paraId="0499462F" w14:textId="77777777" w:rsidR="00044AD8" w:rsidRPr="00250C7F" w:rsidRDefault="00044AD8" w:rsidP="00CB3E33">
      <w:pPr>
        <w:spacing w:after="0" w:line="240" w:lineRule="auto"/>
        <w:jc w:val="both"/>
        <w:rPr>
          <w:rFonts w:ascii="Times New Roman" w:eastAsia="Calibri" w:hAnsi="Times New Roman" w:cs="Times New Roman"/>
          <w:b/>
          <w:sz w:val="24"/>
          <w:szCs w:val="24"/>
        </w:rPr>
      </w:pPr>
    </w:p>
    <w:p w14:paraId="35145E61" w14:textId="77777777" w:rsidR="00875B1F" w:rsidRPr="00250C7F" w:rsidRDefault="00875B1F" w:rsidP="00CB3E33">
      <w:pPr>
        <w:spacing w:after="0" w:line="240" w:lineRule="auto"/>
        <w:jc w:val="right"/>
        <w:rPr>
          <w:rFonts w:ascii="Times New Roman" w:eastAsia="Calibri" w:hAnsi="Times New Roman" w:cs="Times New Roman"/>
          <w:sz w:val="24"/>
          <w:szCs w:val="24"/>
        </w:rPr>
      </w:pPr>
      <w:r w:rsidRPr="00250C7F">
        <w:rPr>
          <w:rFonts w:ascii="Times New Roman" w:eastAsia="Calibri" w:hAnsi="Times New Roman" w:cs="Times New Roman"/>
          <w:sz w:val="24"/>
          <w:szCs w:val="24"/>
        </w:rPr>
        <w:t>C. pen., art. 259, art. 297, art. 269, art. 275</w:t>
      </w:r>
    </w:p>
    <w:p w14:paraId="69756CE7" w14:textId="77777777" w:rsidR="00875B1F" w:rsidRPr="00250C7F" w:rsidRDefault="00875B1F" w:rsidP="00CB3E33">
      <w:pPr>
        <w:spacing w:after="0" w:line="240" w:lineRule="auto"/>
        <w:jc w:val="right"/>
        <w:rPr>
          <w:rFonts w:ascii="Times New Roman" w:eastAsia="Calibri" w:hAnsi="Times New Roman" w:cs="Times New Roman"/>
          <w:sz w:val="24"/>
          <w:szCs w:val="24"/>
        </w:rPr>
      </w:pPr>
      <w:r w:rsidRPr="00250C7F">
        <w:rPr>
          <w:rFonts w:ascii="Times New Roman" w:eastAsia="Calibri" w:hAnsi="Times New Roman" w:cs="Times New Roman"/>
          <w:sz w:val="24"/>
          <w:szCs w:val="24"/>
        </w:rPr>
        <w:t>Legea nr. 78/2000, art. 132</w:t>
      </w:r>
    </w:p>
    <w:p w14:paraId="57559E4B" w14:textId="1BD16AB1" w:rsidR="00044AD8" w:rsidRPr="00250C7F" w:rsidRDefault="00875B1F" w:rsidP="00CB3E33">
      <w:pPr>
        <w:spacing w:after="0" w:line="240" w:lineRule="auto"/>
        <w:jc w:val="right"/>
        <w:rPr>
          <w:rFonts w:ascii="Times New Roman" w:eastAsia="Calibri" w:hAnsi="Times New Roman" w:cs="Times New Roman"/>
          <w:sz w:val="24"/>
          <w:szCs w:val="24"/>
        </w:rPr>
      </w:pPr>
      <w:r w:rsidRPr="00250C7F">
        <w:rPr>
          <w:rFonts w:ascii="Times New Roman" w:eastAsia="Calibri" w:hAnsi="Times New Roman" w:cs="Times New Roman"/>
          <w:sz w:val="24"/>
          <w:szCs w:val="24"/>
        </w:rPr>
        <w:t>C. proc. pen., art. 438 alin. (1) pct. 7</w:t>
      </w:r>
    </w:p>
    <w:p w14:paraId="4BF6BCC0" w14:textId="77777777" w:rsidR="00875B1F" w:rsidRPr="00250C7F" w:rsidRDefault="00875B1F" w:rsidP="00875B1F">
      <w:pPr>
        <w:spacing w:after="0" w:line="276" w:lineRule="auto"/>
        <w:jc w:val="right"/>
        <w:rPr>
          <w:rFonts w:ascii="Times New Roman" w:eastAsia="Calibri" w:hAnsi="Times New Roman" w:cs="Times New Roman"/>
          <w:sz w:val="24"/>
          <w:szCs w:val="24"/>
        </w:rPr>
      </w:pPr>
    </w:p>
    <w:p w14:paraId="6E395F21" w14:textId="0B38FC70" w:rsidR="003E506A" w:rsidRPr="00250C7F" w:rsidRDefault="00044AD8" w:rsidP="000F2C11">
      <w:pPr>
        <w:spacing w:after="0" w:line="276" w:lineRule="auto"/>
        <w:jc w:val="both"/>
        <w:rPr>
          <w:rFonts w:ascii="Times New Roman" w:eastAsia="Calibri" w:hAnsi="Times New Roman" w:cs="Times New Roman"/>
          <w:i/>
          <w:iCs/>
          <w:sz w:val="24"/>
          <w:szCs w:val="24"/>
        </w:rPr>
      </w:pPr>
      <w:r w:rsidRPr="00250C7F">
        <w:rPr>
          <w:rFonts w:ascii="Times New Roman" w:eastAsia="Calibri" w:hAnsi="Times New Roman" w:cs="Times New Roman"/>
          <w:sz w:val="24"/>
          <w:szCs w:val="24"/>
        </w:rPr>
        <w:tab/>
      </w:r>
      <w:r w:rsidR="00875B1F" w:rsidRPr="00250C7F">
        <w:rPr>
          <w:rFonts w:ascii="Times New Roman" w:eastAsia="Calibri" w:hAnsi="Times New Roman" w:cs="Times New Roman"/>
          <w:i/>
          <w:iCs/>
          <w:sz w:val="24"/>
          <w:szCs w:val="24"/>
        </w:rPr>
        <w:t>1. Fapta persoanei care, în calitate de prim-procuror, în exercitarea atribuţiilor de serviciu privind verificarea legalităţii şi temeiniciei rechizitoriului, prin încălcarea dispoziţiilor art. 304 C. proc. pen. şi ale art. 64 alin. (3) din Legea nr. 304/2004, a distrus rechizitoriul întocmit de un procuror din subordine, fără a dispune infirmarea motivată a actului de trimitere în judecată, cu consecinţa amânării trimiterii în judecată a unui inculpat pentru un interval de timp, întruneşte elementele de tipicitate ale infracţiunii de abuz în serviciu prevăzute în art. 13</w:t>
      </w:r>
      <w:r w:rsidR="00875B1F" w:rsidRPr="00250C7F">
        <w:rPr>
          <w:rFonts w:ascii="Times New Roman" w:eastAsia="Calibri" w:hAnsi="Times New Roman" w:cs="Times New Roman"/>
          <w:i/>
          <w:iCs/>
          <w:sz w:val="24"/>
          <w:szCs w:val="24"/>
          <w:vertAlign w:val="superscript"/>
        </w:rPr>
        <w:t>2</w:t>
      </w:r>
      <w:r w:rsidR="00875B1F" w:rsidRPr="00250C7F">
        <w:rPr>
          <w:rFonts w:ascii="Times New Roman" w:eastAsia="Calibri" w:hAnsi="Times New Roman" w:cs="Times New Roman"/>
          <w:i/>
          <w:iCs/>
          <w:sz w:val="24"/>
          <w:szCs w:val="24"/>
        </w:rPr>
        <w:t> din Legea nr. 78/2000 raportat la art. 297 alin. (1) C. pen. Amânarea trimiterii în judecată a inculpatului pentru un interval de timp, ca efect al distrugerii rechizitoriului, constituie un avantaj nepatrimonial, care se încadrează în noţiunea de folos necuvenit obţinut pentru altul, în accepţiunea art. 13</w:t>
      </w:r>
      <w:r w:rsidR="00875B1F" w:rsidRPr="00250C7F">
        <w:rPr>
          <w:rFonts w:ascii="Times New Roman" w:eastAsia="Calibri" w:hAnsi="Times New Roman" w:cs="Times New Roman"/>
          <w:i/>
          <w:iCs/>
          <w:sz w:val="24"/>
          <w:szCs w:val="24"/>
          <w:vertAlign w:val="superscript"/>
        </w:rPr>
        <w:t>2</w:t>
      </w:r>
      <w:r w:rsidR="00875B1F" w:rsidRPr="00250C7F">
        <w:rPr>
          <w:rFonts w:ascii="Times New Roman" w:eastAsia="Calibri" w:hAnsi="Times New Roman" w:cs="Times New Roman"/>
          <w:i/>
          <w:iCs/>
          <w:sz w:val="24"/>
          <w:szCs w:val="24"/>
        </w:rPr>
        <w:t xml:space="preserve"> din Legea nr. 78/2000. </w:t>
      </w:r>
    </w:p>
    <w:p w14:paraId="24391979" w14:textId="794AD3EA" w:rsidR="0079291A" w:rsidRPr="00250C7F" w:rsidRDefault="0079291A" w:rsidP="0079291A">
      <w:pPr>
        <w:spacing w:after="0" w:line="276" w:lineRule="auto"/>
        <w:jc w:val="both"/>
        <w:rPr>
          <w:rFonts w:ascii="Times New Roman" w:eastAsia="Calibri" w:hAnsi="Times New Roman" w:cs="Times New Roman"/>
          <w:i/>
          <w:iCs/>
          <w:sz w:val="24"/>
          <w:szCs w:val="24"/>
        </w:rPr>
      </w:pPr>
      <w:r w:rsidRPr="00250C7F">
        <w:rPr>
          <w:rFonts w:ascii="Times New Roman" w:eastAsia="Calibri" w:hAnsi="Times New Roman" w:cs="Times New Roman"/>
          <w:i/>
          <w:iCs/>
          <w:sz w:val="24"/>
          <w:szCs w:val="24"/>
        </w:rPr>
        <w:tab/>
      </w:r>
      <w:r w:rsidR="00B717F5" w:rsidRPr="00250C7F">
        <w:rPr>
          <w:rFonts w:ascii="Times New Roman" w:eastAsia="Calibri" w:hAnsi="Times New Roman" w:cs="Times New Roman"/>
          <w:i/>
          <w:iCs/>
          <w:sz w:val="24"/>
          <w:szCs w:val="24"/>
        </w:rPr>
        <w:t xml:space="preserve">2. </w:t>
      </w:r>
      <w:r w:rsidRPr="00250C7F">
        <w:rPr>
          <w:rFonts w:ascii="Times New Roman" w:eastAsia="Calibri" w:hAnsi="Times New Roman" w:cs="Times New Roman"/>
          <w:i/>
          <w:iCs/>
          <w:sz w:val="24"/>
          <w:szCs w:val="24"/>
        </w:rPr>
        <w:t>De asemenea, activitatea infracţională comisă întruneşte atât elementele constitutive ale infracţiunii de sustragere sau distrugere de înscrisuri prevăzută în art. 259 alin. (1) şi (2) C. pen., ca infracţiune contra autorităţii, cât şi elementele constitutive ale infracţiunii de favorizare a făptuitorului prevăzută în art. 269 alin. (1) C. pen., ca infracţiune contra înfăptuirii justiţiei, în cazul în care implică un ajutor dat inculpatului pentru a îngreuna cercetările în cauza penală, prin întârzierea desfăşurării urmăririi penale pentru un interval de timp, până la o nouă trimitere în judecată.</w:t>
      </w:r>
    </w:p>
    <w:p w14:paraId="01D45CB4" w14:textId="5A839D13" w:rsidR="0079291A" w:rsidRPr="00250C7F" w:rsidRDefault="0079291A" w:rsidP="0079291A">
      <w:pPr>
        <w:spacing w:after="0" w:line="276" w:lineRule="auto"/>
        <w:jc w:val="both"/>
        <w:rPr>
          <w:rFonts w:ascii="Times New Roman" w:eastAsia="Calibri" w:hAnsi="Times New Roman" w:cs="Times New Roman"/>
          <w:i/>
          <w:iCs/>
          <w:sz w:val="24"/>
          <w:szCs w:val="24"/>
        </w:rPr>
      </w:pPr>
      <w:r w:rsidRPr="00250C7F">
        <w:rPr>
          <w:rFonts w:ascii="Times New Roman" w:eastAsia="Calibri" w:hAnsi="Times New Roman" w:cs="Times New Roman"/>
          <w:i/>
          <w:iCs/>
          <w:sz w:val="24"/>
          <w:szCs w:val="24"/>
        </w:rPr>
        <w:tab/>
      </w:r>
      <w:r w:rsidR="00EB7AAD" w:rsidRPr="00250C7F">
        <w:rPr>
          <w:rFonts w:ascii="Times New Roman" w:eastAsia="Calibri" w:hAnsi="Times New Roman" w:cs="Times New Roman"/>
          <w:i/>
          <w:iCs/>
          <w:sz w:val="24"/>
          <w:szCs w:val="24"/>
        </w:rPr>
        <w:t>Fapta astfel comisă justifică reţinerea celor trei incriminări, sub forma concursului de infracţiuni.</w:t>
      </w:r>
    </w:p>
    <w:p w14:paraId="56F55BFD" w14:textId="3C4FD601" w:rsidR="00875B1F" w:rsidRPr="00250C7F" w:rsidRDefault="00875B1F" w:rsidP="000F2C11">
      <w:pPr>
        <w:spacing w:after="0" w:line="276" w:lineRule="auto"/>
        <w:ind w:firstLine="708"/>
        <w:jc w:val="both"/>
        <w:rPr>
          <w:rFonts w:ascii="Times New Roman" w:eastAsia="Calibri" w:hAnsi="Times New Roman" w:cs="Times New Roman"/>
          <w:i/>
          <w:iCs/>
          <w:sz w:val="24"/>
          <w:szCs w:val="24"/>
        </w:rPr>
      </w:pPr>
      <w:r w:rsidRPr="00250C7F">
        <w:rPr>
          <w:rFonts w:ascii="Times New Roman" w:eastAsia="Calibri" w:hAnsi="Times New Roman" w:cs="Times New Roman"/>
          <w:i/>
          <w:iCs/>
          <w:sz w:val="24"/>
          <w:szCs w:val="24"/>
        </w:rPr>
        <w:t xml:space="preserve">3. Distrugerea unui rechizitoriu nu întruneşte elementele constitutive ale infracţiunii prevăzute în art. 275 alin. (1) C. pen., </w:t>
      </w:r>
      <w:r w:rsidR="003E506A" w:rsidRPr="00250C7F">
        <w:rPr>
          <w:rFonts w:ascii="Times New Roman" w:eastAsia="Calibri" w:hAnsi="Times New Roman" w:cs="Times New Roman"/>
          <w:i/>
          <w:iCs/>
          <w:sz w:val="24"/>
          <w:szCs w:val="24"/>
        </w:rPr>
        <w:t xml:space="preserve">ca infracţiune contra înfăptuirii justiţiei, </w:t>
      </w:r>
      <w:r w:rsidRPr="00250C7F">
        <w:rPr>
          <w:rFonts w:ascii="Times New Roman" w:eastAsia="Calibri" w:hAnsi="Times New Roman" w:cs="Times New Roman"/>
          <w:i/>
          <w:iCs/>
          <w:sz w:val="24"/>
          <w:szCs w:val="24"/>
        </w:rPr>
        <w:t>întrucât rechizitoriul nu constituie un înscris cu valoare probatorie, ci actul procesual oficial învestit cu autoritatea emitentului, prin care se finalizează faza urmăririi penale și se dispune sesizarea instanței de judecată, dinamizându-se procesul penal.</w:t>
      </w:r>
    </w:p>
    <w:p w14:paraId="1DD6F046" w14:textId="4A81301B" w:rsidR="00875B1F" w:rsidRPr="00250C7F" w:rsidRDefault="00875B1F" w:rsidP="000F2C11">
      <w:pPr>
        <w:spacing w:after="0" w:line="276" w:lineRule="auto"/>
        <w:ind w:firstLine="708"/>
        <w:jc w:val="both"/>
        <w:rPr>
          <w:rFonts w:ascii="Times New Roman" w:eastAsia="Calibri" w:hAnsi="Times New Roman" w:cs="Times New Roman"/>
          <w:i/>
          <w:iCs/>
          <w:sz w:val="24"/>
          <w:szCs w:val="24"/>
        </w:rPr>
      </w:pPr>
      <w:r w:rsidRPr="00250C7F">
        <w:rPr>
          <w:rFonts w:ascii="Times New Roman" w:eastAsia="Calibri" w:hAnsi="Times New Roman" w:cs="Times New Roman"/>
          <w:i/>
          <w:iCs/>
          <w:sz w:val="24"/>
          <w:szCs w:val="24"/>
        </w:rPr>
        <w:t xml:space="preserve">4. Aplicabilitatea sau inaplicabilitatea principiului ultima ratio, potrivit Deciziei Curţii Constituţionale nr. 405/2016, nu poate fi cenzurată în calea extraordinară de atac a recursului în casaţie, în cadrul cazului reglementat în art. 438 alin. (1) pct. 7 C. proc. pen., deoarece implică reaprecierea unor elemente de fapt. În cazul infracţiunii de abuz în serviciu, în cadrul procesual limitat specific recursului în casație, Înalta Curte de Casaţie şi Justiţie nu poate reevalua elemente de fapt, controlul de legalitate limitându-se la verificarea existenței rezultatului infracțiunii, ca cerință a conținutului obiectiv - chestiune de legalitate, iar nu și a întinderii sau a </w:t>
      </w:r>
      <w:r w:rsidRPr="00250C7F">
        <w:rPr>
          <w:rFonts w:ascii="Times New Roman" w:eastAsia="Calibri" w:hAnsi="Times New Roman" w:cs="Times New Roman"/>
          <w:i/>
          <w:iCs/>
          <w:sz w:val="24"/>
          <w:szCs w:val="24"/>
        </w:rPr>
        <w:lastRenderedPageBreak/>
        <w:t>gravității concrete a rezultatului - chestiune de fapt, care constituie atributul exclusiv al primei instanţe şi al instanţei de apel.</w:t>
      </w:r>
    </w:p>
    <w:p w14:paraId="30C31F09" w14:textId="59CC6E77" w:rsidR="003636D6" w:rsidRPr="00250C7F" w:rsidRDefault="003636D6" w:rsidP="00875B1F">
      <w:pPr>
        <w:spacing w:after="0" w:line="276" w:lineRule="auto"/>
        <w:jc w:val="both"/>
        <w:rPr>
          <w:rFonts w:ascii="Times New Roman" w:eastAsia="Calibri" w:hAnsi="Times New Roman" w:cs="Times New Roman"/>
          <w:sz w:val="24"/>
          <w:szCs w:val="24"/>
        </w:rPr>
      </w:pPr>
    </w:p>
    <w:p w14:paraId="488A68B2" w14:textId="7725AD3C" w:rsidR="00044AD8" w:rsidRPr="00250C7F" w:rsidRDefault="00044AD8" w:rsidP="00891584">
      <w:pPr>
        <w:spacing w:after="0" w:line="276" w:lineRule="auto"/>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I.C.C.J., Secţia penală, decizia nr. </w:t>
      </w:r>
      <w:r w:rsidR="00875B1F" w:rsidRPr="00250C7F">
        <w:rPr>
          <w:rFonts w:ascii="Times New Roman" w:eastAsia="Calibri" w:hAnsi="Times New Roman" w:cs="Times New Roman"/>
          <w:sz w:val="24"/>
          <w:szCs w:val="24"/>
        </w:rPr>
        <w:t>476/RC din 11 decembrie 2020</w:t>
      </w:r>
    </w:p>
    <w:p w14:paraId="00DF58FF" w14:textId="77777777" w:rsidR="00044AD8" w:rsidRPr="00250C7F" w:rsidRDefault="00044AD8" w:rsidP="00891584">
      <w:pPr>
        <w:spacing w:after="0" w:line="276" w:lineRule="auto"/>
        <w:jc w:val="right"/>
        <w:rPr>
          <w:rFonts w:ascii="Times New Roman" w:eastAsia="Calibri" w:hAnsi="Times New Roman" w:cs="Times New Roman"/>
          <w:sz w:val="24"/>
          <w:szCs w:val="24"/>
        </w:rPr>
      </w:pPr>
    </w:p>
    <w:p w14:paraId="2FDC3124"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sentinţa nr. 194/PI din 13 martie 2018, pronunţată de Curtea de Apel Timişoara, Secţia penală, printre altele, s-au hotărât următoarele:</w:t>
      </w:r>
    </w:p>
    <w:p w14:paraId="2D5606D3"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396 alin. (1) şi (5) C. proc. pen. raportat la art. 16 alin. (1) lit. a) C. proc. pen., a fost achitat inculpatul A. pentru săvârşirea a trei infracţiuni de abuz în serviciu prevăzute în art. 13</w:t>
      </w:r>
      <w:r w:rsidRPr="00250C7F">
        <w:rPr>
          <w:rFonts w:ascii="Times New Roman" w:eastAsia="Calibri" w:hAnsi="Times New Roman" w:cs="Times New Roman"/>
          <w:sz w:val="24"/>
          <w:szCs w:val="24"/>
          <w:vertAlign w:val="superscript"/>
        </w:rPr>
        <w:t>2 </w:t>
      </w:r>
      <w:r w:rsidRPr="00250C7F">
        <w:rPr>
          <w:rFonts w:ascii="Times New Roman" w:eastAsia="Calibri" w:hAnsi="Times New Roman" w:cs="Times New Roman"/>
          <w:sz w:val="24"/>
          <w:szCs w:val="24"/>
        </w:rPr>
        <w:t>din Legea nr. 78/2000, cu referire la art. 297 alin. (1) C. pen., cu aplicarea art. 5 C. pen.</w:t>
      </w:r>
    </w:p>
    <w:p w14:paraId="585090D6"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396 alin. (1) şi (5) C. proc. pen. raportat la art. 16 alin. (1) lit. a) C. proc. pen., a fost achitat inculpatul A. sub aspectul săvârşirii a trei infracţiuni de sustragere sau distrugere de înscrisuri prevăzute în art. 259 alin. (1) şi (2) C. pen., cu aplicarea art. 5 C. pen.</w:t>
      </w:r>
    </w:p>
    <w:p w14:paraId="25D146D3"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396 alin. (1) şi (5) C. proc. pen. raportat la art. 16 alin. (1) lit. a) C. proc. pen., a fost achitat inculpatul A. sub aspectul săvârşirii a trei infracţiuni de favorizare a făptuitorului prevăzute în art. 269 alin. (1) C. pen., cu aplicarea art. 5 C. pen.</w:t>
      </w:r>
    </w:p>
    <w:p w14:paraId="6896C166"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396 alin. (1) şi (2) C. proc. pen. raportat la art. 207 alin. (1) C. pen., cu aplicarea art. 13</w:t>
      </w:r>
      <w:r w:rsidRPr="00250C7F">
        <w:rPr>
          <w:rFonts w:ascii="Times New Roman" w:eastAsia="Calibri" w:hAnsi="Times New Roman" w:cs="Times New Roman"/>
          <w:sz w:val="24"/>
          <w:szCs w:val="24"/>
          <w:vertAlign w:val="superscript"/>
        </w:rPr>
        <w:t>1</w:t>
      </w:r>
      <w:r w:rsidRPr="00250C7F">
        <w:rPr>
          <w:rFonts w:ascii="Times New Roman" w:eastAsia="Calibri" w:hAnsi="Times New Roman" w:cs="Times New Roman"/>
          <w:sz w:val="24"/>
          <w:szCs w:val="24"/>
        </w:rPr>
        <w:t> din Legea nr. 78/2000, a fost condamnat inculpatul A. pentru săvârşirea infracţiunii de şantaj.</w:t>
      </w:r>
    </w:p>
    <w:p w14:paraId="7A866175"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decizia nr. 20/A din 22 ianuarie 2020, pronunţată de Înalta Curte de  Casaţie şi Justiţie, Secţia penală, s-a admis apelul declarat de Parchetul de pe lângă Înalta Curte de Casaţie şi Justiţie - Direcţia Naţională Anticorupţie împotriva sentinței nr. 194/PI din 13 martie 2018 a Curții de Apel Timişoara, Secţia penală, care a fost desfiinţată, în parte, iar în rejudecare, printre altele:</w:t>
      </w:r>
    </w:p>
    <w:p w14:paraId="1055CBEE"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396 alin. (1) şi (2) C. proc. pen. raportat la art. 207 alin. (1) şi (3) C. pen., cu aplicarea art. 13</w:t>
      </w:r>
      <w:r w:rsidRPr="00250C7F">
        <w:rPr>
          <w:rFonts w:ascii="Times New Roman" w:eastAsia="Calibri" w:hAnsi="Times New Roman" w:cs="Times New Roman"/>
          <w:sz w:val="24"/>
          <w:szCs w:val="24"/>
          <w:vertAlign w:val="superscript"/>
        </w:rPr>
        <w:t>1  </w:t>
      </w:r>
      <w:r w:rsidRPr="00250C7F">
        <w:rPr>
          <w:rFonts w:ascii="Times New Roman" w:eastAsia="Calibri" w:hAnsi="Times New Roman" w:cs="Times New Roman"/>
          <w:sz w:val="24"/>
          <w:szCs w:val="24"/>
        </w:rPr>
        <w:t>din Legea nr. 78/2000, a fost condamnat inculpatul A. pentru săvârşirea infracţiunii de şantaj.</w:t>
      </w:r>
    </w:p>
    <w:p w14:paraId="467D17D7"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396 alin. (1) şi (2) C. proc. pen. raportat la art. 13</w:t>
      </w:r>
      <w:r w:rsidRPr="00250C7F">
        <w:rPr>
          <w:rFonts w:ascii="Times New Roman" w:eastAsia="Calibri" w:hAnsi="Times New Roman" w:cs="Times New Roman"/>
          <w:sz w:val="24"/>
          <w:szCs w:val="24"/>
          <w:vertAlign w:val="superscript"/>
        </w:rPr>
        <w:t>2</w:t>
      </w:r>
      <w:r w:rsidRPr="00250C7F">
        <w:rPr>
          <w:rFonts w:ascii="Times New Roman" w:eastAsia="Calibri" w:hAnsi="Times New Roman" w:cs="Times New Roman"/>
          <w:sz w:val="24"/>
          <w:szCs w:val="24"/>
        </w:rPr>
        <w:t> din Legea nr. 78/2000, cu referire la art. 297 alin. (1) C. pen., cu aplicarea art. 5 C. pen., a fost condamnat inculpatul A. pentru săvârşirea infracţiunii de abuz în serviciu.</w:t>
      </w:r>
    </w:p>
    <w:p w14:paraId="48087DA7"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396 alin. (1) şi (2) C. proc. pen. raportat la art. 259 alin. (1) şi (2) C. pen., cu aplicarea art. 5 C. pen., a fost condamnat inculpatul A. pentru săvârşirea infracţiunii de sustragere sau distrugere de înscrisuri.</w:t>
      </w:r>
    </w:p>
    <w:p w14:paraId="08C954C0"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396 alin. (1) şi (2) C. proc. pen. raportat la art. 269 alin. (1) C. pen., cu aplicarea art. 5 C. pen., a fost condamnat inculpatul A. pentru săvârşirea infracţiunii de favorizare a făptuitorului.</w:t>
      </w:r>
    </w:p>
    <w:p w14:paraId="2EC4FE80"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S-a făcut aplicarea art. 38 alin. (1) raportat la art. 39 alin. (1) lit. b) C. pen.</w:t>
      </w:r>
    </w:p>
    <w:p w14:paraId="5664498B"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Totodată, s-a respins, ca nefondat, apelul declarat de inculpatul A. împotriva aceleiași sentințe penale.</w:t>
      </w:r>
    </w:p>
    <w:p w14:paraId="6066398D"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Împotriva deciziei nr. 20/A din 22 ianuarie 2020, pronunţată de Înalta Curte de  Casaţie şi Justiţie, Secţia penală, a declarat recurs în casaţie, în termen legal, inculpatul A.</w:t>
      </w:r>
    </w:p>
    <w:p w14:paraId="4CBAD12E"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motivarea căii de atac, recurentul inculpat a invocat, în principal, cazul de recurs în casație prevăzut în art. 438 alin. (1) pct. 7 C. proc. pen.</w:t>
      </w:r>
    </w:p>
    <w:p w14:paraId="35F7AE53"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Constatând că cererea de recurs în casaţie formulată de inculpatul A. este introdusă în termenul prevăzut de lege şi respectă condiţiile prevăzute în art. 434, art. 436, art. 437 şi art. 438 C. proc. pen., prin încheierea din data de 18 septembrie 2020, Înalta Curte de Casaţie şi Justiţie, judecătorul de filtru, a admis-o în principiu și a dispus trimiterea cauzei la completul de 3 judecători, în vederea judecării pe fond a căii de atac.</w:t>
      </w:r>
    </w:p>
    <w:p w14:paraId="79E76D1B"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Analizând recursul în casaţie formulat de inculpatul A. în limitele prevăzute în art. 442 alin. (1) şi (2) C. proc. pen., Înalta Curte de Casaţie şi Justiţie apreciază că acesta este nefondat, în principal, pentru următoarele considerente:</w:t>
      </w:r>
    </w:p>
    <w:p w14:paraId="3E51A589"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Cu titlu prealabil, constată că, fiind reglementat ca o cale extraordinară de atac, menită să asigure echilibrul între principiul legalităţii, pe de o parte, şi principiul respectării autorităţii de lucru judecat, pe de altă parte, recursul în casaţie permite cenzurarea legalității unei categorii limitate de hotărâri definitive şi numai pentru motive expres prevăzute de legea procesual penală. În acest sens, dispoziţiile art. 433 C. proc. pen. reglementează explicit scopul căii de atac analizate, statuând că acest mecanism urmărește să supună Înaltei Curți de Casaţie şi Justiţie judecarea, în condiţiile legii, a conformității hotărârii atacate cu regulile de drept aplicabile.</w:t>
      </w:r>
    </w:p>
    <w:p w14:paraId="5D485501"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Analiza de legalitate a instanţei de recurs nu este, însă, una exhaustivă, ci limitată la încălcări ale legii apreciate grave de către legiuitor şi reglementate ca atare, în mod expres și limitativ, în cuprinsul art. 438 alin. (1) C. proc. pen.</w:t>
      </w:r>
    </w:p>
    <w:p w14:paraId="3AF1F835"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fine, recursul în casaţie nu permite reevaluarea unor elemente sau împrejurări factuale stabilite cu autoritate de lucru judecat de către instanțele de fond, Înalta Curte de Casaţie şi Justiţie nefiind abilitată, în procedura extraordinară supusă analizei, să dea o nouă interpretare materialului probator şi să rețină o stare de fapt diferită de cea descrisă și valorificată ca atare în hotărârea atacată. Aceasta deoarece instanţa de casație nu judecă procesul propriu-zis, respectiv litigiul care are ca temei juridic cauza penală, ci judecă numai dacă, din punct de vedere al dreptului, hotărârea atacată este corespunzătoare.</w:t>
      </w:r>
    </w:p>
    <w:p w14:paraId="6FCBD1DB"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cauza de faţă, recurentul inculpat A. a invocat cazul de recurs în casaţie prevăzut în art. 438 alin. (1) pct. 7 C. proc. pen., potrivit căruia hotărârile sunt supuse casării atunci când „inculpatul a fost condamnat pentru o faptă care nu este prevăzută de legea penală.”</w:t>
      </w:r>
    </w:p>
    <w:p w14:paraId="793EBF22"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Înalta Curte de Casaţie şi Justiţie reține că, în principiu, sintagma „nu este prevăzută de legea penală” privește situațiile în care condamnarea se bazează pe ipoteze de incriminare care nu sunt prevăzute de lege, respectiv, nu au făcut niciodată obiectul incriminării sau în privința lor a operat dezincriminarea. În calea extraordinară de atac a recursului în casație, analiza acestor ipoteze se raportează, întotdeauna și exclusiv, la starea de fapt reţinută cu titlu definitiv în decizia instanței de apel, instanța supremă nefiind abilitată să reevalueze, în acest cadru procesual, temeinicia faptelor reținute ori suportul lor probatoriu.</w:t>
      </w:r>
    </w:p>
    <w:p w14:paraId="77376FDD"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contextul acestor argumente de principiu, examinând criticile concret formulate de recurentul inculpat A., Înalta Curte de Casație și Justiție constată caracterul neîntemeiat al acestora.</w:t>
      </w:r>
    </w:p>
    <w:p w14:paraId="24CB5C82"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i/>
          <w:iCs/>
          <w:sz w:val="24"/>
          <w:szCs w:val="24"/>
        </w:rPr>
        <w:t>1. Cu privire la infracţiunea de abuz în serviciu</w:t>
      </w:r>
    </w:p>
    <w:p w14:paraId="28A8BE5F"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cauza de față, starea de fapt valorificată prin decizia recurată constă, în esență, în aceea că, în perioada iulie 2010 - ianuarie 2011, în calitate de prim-procuror al parchetului de pe lângă judecătorie, inculpatul A. a distrus rechizitoriul întocmit de procurorul B. în dosarul nr. X. al unității de parchet menționate, ruperea rechizitoriului şi amânarea trimiterii în judecată a </w:t>
      </w:r>
      <w:r w:rsidRPr="00250C7F">
        <w:rPr>
          <w:rFonts w:ascii="Times New Roman" w:eastAsia="Calibri" w:hAnsi="Times New Roman" w:cs="Times New Roman"/>
          <w:sz w:val="24"/>
          <w:szCs w:val="24"/>
        </w:rPr>
        <w:lastRenderedPageBreak/>
        <w:t>învinuiților din acel dosar - C., D. şi E. - constituind un ajutor pentru aceștia din urmă, în scopul îngreunării cercetărilor în cauza penală.</w:t>
      </w:r>
    </w:p>
    <w:p w14:paraId="6C9BFF80"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ruperea rechizitoriului şi înlocuirea soluţiei, inculpatul A. a ales să nu întocmească personal o soluţie alternativă, ci să dispună redistribuirea dosarului în lipsa unei dispoziţii motivate, în vreo modalitate prevăzută de Codul de procedură penală. S-a apreciat că lipsa unei soluţii de infirmare a rechizitoriului întocmit de către procurorul B., precum şi a dispoziţiei motivate de trecere a dosarului de la acesta din urmă la un alt procuror, de către inculpatul A., constituie încălcări ale dispoziţiilor art. 304 C. proc. pen. (art. 220 C. proc. pen. anterior) şi art. 64 alin. (3) şi (4) din Legea nr. 304/2004 privind organizarea judiciară, referitoare la infirmarea soluţiilor şi trecerea lucrărilor repartizate de la un procuror la altul.</w:t>
      </w:r>
    </w:p>
    <w:p w14:paraId="37A5CC29"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Invocând incidența motivului de recurs în casație prevăzut în art. 438 alin. (1) pct. (7) C. proc. pen., inculpatul A. a susținut, sub un prim aspect, că fapta reținută prin decizia recurată nu corespunde tiparului obiectiv al infracțiunii prevăzute în art. 13</w:t>
      </w:r>
      <w:r w:rsidRPr="00250C7F">
        <w:rPr>
          <w:rFonts w:ascii="Times New Roman" w:eastAsia="Calibri" w:hAnsi="Times New Roman" w:cs="Times New Roman"/>
          <w:sz w:val="24"/>
          <w:szCs w:val="24"/>
          <w:vertAlign w:val="superscript"/>
        </w:rPr>
        <w:t>2</w:t>
      </w:r>
      <w:r w:rsidRPr="00250C7F">
        <w:rPr>
          <w:rFonts w:ascii="Times New Roman" w:eastAsia="Calibri" w:hAnsi="Times New Roman" w:cs="Times New Roman"/>
          <w:sz w:val="24"/>
          <w:szCs w:val="24"/>
        </w:rPr>
        <w:t> din Legea nr. 78/2000, deoarece lipsește elementul folosului necuvenit obținut pentru sine sau pentru altul.</w:t>
      </w:r>
    </w:p>
    <w:p w14:paraId="6E9601B4"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Critica recurentului inculpat este nefondată.</w:t>
      </w:r>
    </w:p>
    <w:p w14:paraId="0BCC5B2B"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Ca element de conținut obiectiv propriu infracțiunii de abuz în serviciu prevăzută în art. 13</w:t>
      </w:r>
      <w:r w:rsidRPr="00250C7F">
        <w:rPr>
          <w:rFonts w:ascii="Times New Roman" w:eastAsia="Calibri" w:hAnsi="Times New Roman" w:cs="Times New Roman"/>
          <w:sz w:val="24"/>
          <w:szCs w:val="24"/>
          <w:vertAlign w:val="superscript"/>
        </w:rPr>
        <w:t>2</w:t>
      </w:r>
      <w:r w:rsidRPr="00250C7F">
        <w:rPr>
          <w:rFonts w:ascii="Times New Roman" w:eastAsia="Calibri" w:hAnsi="Times New Roman" w:cs="Times New Roman"/>
          <w:sz w:val="24"/>
          <w:szCs w:val="24"/>
        </w:rPr>
        <w:t> din Legea nr. 78/2000 raportat la art. 297 alin. (1) C. pen., folosul necuvenit pe care îl obține funcționarul public prin neîndeplinirea sau îndeplinirea, cu încălcarea legii, a atribuțiilor sale de serviciu este reprezentat fie de avantaje de ordin patrimonial - bunuri, comisioane, împrumuturi, premii, prestații de servicii în mod gratuit, angajarea ori promovarea în serviciu - fie de avantaje nepatrimoniale, cu condiția ca acestea să fie legal nedatorate.</w:t>
      </w:r>
    </w:p>
    <w:p w14:paraId="39D22F01"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În speță, cerința folosului necuvenit, reținută explicit prin rechizitoriu și valorificată ca atare prin decizia instanței de apel, s-a concretizat în avantajul asigurat persoanelor cercetate în dosarul nr. X. al parchetului de pe lângă judecătorie, prin amânarea trimiterii acestora în judecată, prelungirea, în acest mod, a procesului penal și obstacularea cursului firesc al justiției.</w:t>
      </w:r>
    </w:p>
    <w:p w14:paraId="4F61FD8C"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Relevante, în acest sens, sunt aspectele din decizia penală, în care, făcând trimitere la acuzația expusă în actul de sesizare și subliniind caracterul greșit al soluției de achitare, instanța de apel a reținut în mod expres că ruperea rechizitoriului inițial întocmit de procurorul B. în dosarul nr. X. și amânarea trimiterii în judecată a persoanelor învinuite în acea cauză a constituit un folos pentru acestea din urmă, chiar dacă ulterior s-a dispus tot o soluție de trimitere în judecată. O atare argumentație relevă neechivoc concordanța dintre acuzația adusă inculpatului prin actul de sesizare a instanței și fapta reținută în sarcina acestuia prin hotărârea penală definitivă, iar, în final, corespondența dintre aceasta din urmă și tiparul legal al incriminării prevăzute în art. 13</w:t>
      </w:r>
      <w:r w:rsidRPr="00250C7F">
        <w:rPr>
          <w:rFonts w:ascii="Times New Roman" w:eastAsia="Calibri" w:hAnsi="Times New Roman" w:cs="Times New Roman"/>
          <w:sz w:val="24"/>
          <w:szCs w:val="24"/>
          <w:vertAlign w:val="superscript"/>
        </w:rPr>
        <w:t>2</w:t>
      </w:r>
      <w:r w:rsidRPr="00250C7F">
        <w:rPr>
          <w:rFonts w:ascii="Times New Roman" w:eastAsia="Calibri" w:hAnsi="Times New Roman" w:cs="Times New Roman"/>
          <w:sz w:val="24"/>
          <w:szCs w:val="24"/>
        </w:rPr>
        <w:t> din Legea nr. 78/2000 raportat la art. 297 alin. (1) C. pen.</w:t>
      </w:r>
    </w:p>
    <w:p w14:paraId="7D48C8EF"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acest ultim sens, instanța de casație reține că amânarea, pentru un interval de aproximativ 7 luni, a trimiterii în judecată a unor persoane suspectate de comiterea unei infracțiuni este susceptibilă a asigura acestora cel puțin un avantaj nepatrimonial, de vreme ce ele evită, astfel, rigorile unui proces penal și, în final, restricțiile inerente unei eventuale sancțiuni penale.  </w:t>
      </w:r>
    </w:p>
    <w:p w14:paraId="6C517A4C"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Factual, demersul imputat inculpatului A. prin rechizitoriul din data de 17 decembrie 2014 s-a concretizat în exercitarea cu încălcarea legii a atribuțiilor ce îi reveneau, în calitate de prim-procuror, în controlul de legalitate și temeinicie exercitat asupra actelor procurorilor din subordine, încălcare concretizată în distrugerea actului procedural de trimitere în judecată, fără a </w:t>
      </w:r>
      <w:r w:rsidRPr="00250C7F">
        <w:rPr>
          <w:rFonts w:ascii="Times New Roman" w:eastAsia="Calibri" w:hAnsi="Times New Roman" w:cs="Times New Roman"/>
          <w:sz w:val="24"/>
          <w:szCs w:val="24"/>
        </w:rPr>
        <w:lastRenderedPageBreak/>
        <w:t>se dispune infirmarea motivată a soluției (înțeleasă ca act procesual), astfel cum impun prevederile art. 304 C. proc. pen. și art. 64 alin. (3) din Legea nr. 304/2004.</w:t>
      </w:r>
    </w:p>
    <w:p w14:paraId="0CCDB105"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Această activitate obiectivă a fost reținută și prin decizia instanței de apel ca reprezentând baza factuală a infracțiunii de abuz în serviciu, dacă făptuitorul a obținut pentru sine sau pentru altul un folos necuvenit.</w:t>
      </w:r>
    </w:p>
    <w:p w14:paraId="4A0CC696"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Hotărârea instanței de apel subliniază neechivoc rezultatul infracțiunii de abuz în serviciu, și anume atingerea gravă adusă interesului general de înfăptuire a justiției și, implicit, a intereselor legitime ale parchetului, afectându-se încrederea justițiabililor în această instituție chemată să aplice legea, evidențiindu-se, astfel, și legătura de cauzalitate între fapta imputată recurentului și urmarea produsă.</w:t>
      </w:r>
    </w:p>
    <w:p w14:paraId="672B440D"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Sub aspectul gravității atingerii aduse în speță relațiilor sociale ocrotite de lege și a măsurii în care sancționarea inculpatului prin mijloace penale corespunde exigențelor principiului </w:t>
      </w:r>
      <w:r w:rsidRPr="00250C7F">
        <w:rPr>
          <w:rFonts w:ascii="Times New Roman" w:eastAsia="Calibri" w:hAnsi="Times New Roman" w:cs="Times New Roman"/>
          <w:i/>
          <w:iCs/>
          <w:sz w:val="24"/>
          <w:szCs w:val="24"/>
        </w:rPr>
        <w:t>„ultima ratio”</w:t>
      </w:r>
      <w:r w:rsidRPr="00250C7F">
        <w:rPr>
          <w:rFonts w:ascii="Times New Roman" w:eastAsia="Calibri" w:hAnsi="Times New Roman" w:cs="Times New Roman"/>
          <w:sz w:val="24"/>
          <w:szCs w:val="24"/>
        </w:rPr>
        <w:t>, astfel cum a fost interpretat în jurisprudența Curții Constituționale (Decizia nr. 405/2016), Înalta Curte de Casaţie şi Justiţie constată că susținerile recurentului aduc în discuție o chestiune de apreciere a unor elemente esențialmente de fapt, ce nu pot fi cenzurate în recurs în casație.</w:t>
      </w:r>
    </w:p>
    <w:p w14:paraId="01DEA595"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Evaluarea intensității și întinderii vătămării aduse unui interes legitim ca efect al conduitei ilicite adoptate de un magistrat procuror implică în mod necesar un proces de analiză a particularităților factuale ale activității ilicite și a consecințelor sale, menit a permite identificarea concretă a gravității vătămării și a măsurii în care legea penală este singura aptă să asigure atingerea scopului urmărit de legiuitor.</w:t>
      </w:r>
    </w:p>
    <w:p w14:paraId="5582E619"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absența, </w:t>
      </w:r>
      <w:r w:rsidRPr="00250C7F">
        <w:rPr>
          <w:rFonts w:ascii="Times New Roman" w:eastAsia="Calibri" w:hAnsi="Times New Roman" w:cs="Times New Roman"/>
          <w:i/>
          <w:iCs/>
          <w:sz w:val="24"/>
          <w:szCs w:val="24"/>
        </w:rPr>
        <w:t>de lege lata</w:t>
      </w:r>
      <w:r w:rsidRPr="00250C7F">
        <w:rPr>
          <w:rFonts w:ascii="Times New Roman" w:eastAsia="Calibri" w:hAnsi="Times New Roman" w:cs="Times New Roman"/>
          <w:sz w:val="24"/>
          <w:szCs w:val="24"/>
        </w:rPr>
        <w:t>, a unei limitări normative privitoare la intensitatea vătămării cauzate prin fapta incriminată în art. 297 alin. (1) C. pen., rezultă că, în contextul cazului de casare prevăzut în art. 438 alin. (1) pct. 7 C. proc. pen., Înalta Curte de Casaţie şi Justiţie poate cenzura tipicitatea abuzului în serviciu doar prin raportare la paguba sau vătămarea efectiv reținută prin hotărârea definitivă, fără a supune unei reaprecieri proprii elementele pe baza cărora instanțele inferioare au concluzionat că acest rezultat a avut, în cazul concret, o gravitate suficient de însemnată pentru a justifica antrenarea răspunderii penale a autorului.</w:t>
      </w:r>
    </w:p>
    <w:p w14:paraId="19C223EE"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cadrul procesual limitat specific recursului în casație, instanța de casație nu este îndrituită să reevalueze elemente factuale, controlul său de legalitate limitându-se la verificarea existenței rezultatului infracțiunii, ca cerință de conținut obiectiv -  chestiune de legalitate - nu și a întinderii sau gravității concrete a acestui rezultat - chestiune de fapt, supusă aprecierii suverane a instanțelor de fond și de apel.</w:t>
      </w:r>
    </w:p>
    <w:p w14:paraId="47E91995"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 în speță, atingerea adusă interesului general de înfăptuire a justiției și, implicit, intereselor legitime ale parchetului, prin modalitatea contrară legii în care inculpatul și-a exercitat atribuțiile de serviciu, individualizează cu precizie rezultatul infracțional, fiind realizate și sub acest aspect cerințele de conținut obiectiv ale infracțiunii de abuz în serviciu. </w:t>
      </w:r>
    </w:p>
    <w:p w14:paraId="548744D7"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fine, critica recurentului A. referitoare la incidența unui concurs de calificări și a imposibilității reținerii abuzului în serviciu în concurs cu infracțiunea de sustragere sau distrugere de înscrisuri prevăzută în art. 259 C. pen. este, de asemenea, nefondată.</w:t>
      </w:r>
    </w:p>
    <w:p w14:paraId="6468D288"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Premisa unui potențial concurs de calificări este aceea a existenței unei fapte ilicite unice, căreia îi sunt aparent aplicabile cel puțin două norme penale între care există, de regulă, un raport de subsidiaritate sau o legătură specifică relației lege generală - lege specială.</w:t>
      </w:r>
    </w:p>
    <w:p w14:paraId="246190DC"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cauza de față, deși actul comisiv al distrugerii rechizitoriului inițial întocmit în dosarul nr. X. este înglobat în latura obiectivă a infracțiunii de abuz în serviciu în varianta asimilată </w:t>
      </w:r>
      <w:r w:rsidRPr="00250C7F">
        <w:rPr>
          <w:rFonts w:ascii="Times New Roman" w:eastAsia="Calibri" w:hAnsi="Times New Roman" w:cs="Times New Roman"/>
          <w:sz w:val="24"/>
          <w:szCs w:val="24"/>
        </w:rPr>
        <w:lastRenderedPageBreak/>
        <w:t>prevăzută de Legea nr. 78/2000, nu există o suprapunere perfectă a elementelor materiale proprii celor două infracțiuni.</w:t>
      </w:r>
    </w:p>
    <w:p w14:paraId="4DFF1F83"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Elementul material al abuzului în serviciu nu se rezumă, în speță, la distrugerea actului procedural, ci se concretizează în omisiunea inculpatului de a-și îndeplini atribuțiile de serviciu ce îi reveneau conform art. 304 alin. (1) C. proc. pen. (art. 220 C. proc. pen. anterior), sub aspectul modalităților legale de invalidare a actelor procesuale de trimitere în judecată întocmite de procurorii din subordine, conjugată cu acțiunea aceluiași inculpat de a distruge actul procedural în condițiile reținute în speță.</w:t>
      </w:r>
    </w:p>
    <w:p w14:paraId="4F68CB64"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Reținând și rezultatul produs ca o consecință a exercitării atribuțiilor de prim-procuror cu încălcarea legii, rezultă că activitatea obiectivă circumscrisă infracțiunii de abuz în serviciu nu este identică celei ce constituie elementul material al distrugerii sau sustragerii de înscrisuri, lipsind, prin urmare, premisa factuală a concursului de norme.</w:t>
      </w:r>
    </w:p>
    <w:p w14:paraId="024F9D43"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plus, Înalta Curte de Casaţie şi Justiţie subliniază că una din condițiile de existență a concursului de calificări o constituie unitatea de obiect juridic protejat, condiție care presupune ca ambele dispoziții de incriminare aparent incidente să aibă ca obiect juridic generic aceeași categorie de relații sociale.</w:t>
      </w:r>
    </w:p>
    <w:p w14:paraId="4350D653"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 spre deosebire de distrugerea sau sustragerea de înscrisuri, care protejează relațiile sociale ce iau naștere în sfera autorității, sub aspectul securității înscrisurilor sau a documentelor aflate în deținerea sau păstrarea unei persoane prevăzute în art. 175 alin. (2) sau art. 176 C. pen., infracțiunea de abuz în serviciu are ca obiect juridic principal relațiile sociale referitoare la buna desfășurare a activității de serviciu, prin îndeplinirea corectă de către funcționarii publici a îndatoririlor ce le revin. </w:t>
      </w:r>
    </w:p>
    <w:p w14:paraId="0F3B16D5"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Susținerea recurentului inculpat, în sensul în care ar fi de neconceput ca activitatea de distrugere a unui act procedural să nu poată fi calificată, în aparență, și ca abuz în serviciu, este neîntemeiată.</w:t>
      </w:r>
    </w:p>
    <w:p w14:paraId="68E7AA57"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Forma agravată a infracțiunii prevăzute în art. 259 alin. (2) C. pen. este incidentă ori de câte ori subiectul activ calificat - funcționarul public - distruge, în exercitarea atribuțiilor de serviciu, un înscris aflat în deținerea sau păstrarea unuia dintre subiecții de drept prevăzuți de lege. Sub aspectul tipicității acestei infracțiuni de pericol contra autorității, sunt irelevante natura actului distrus, conținutul înscrisului ori consecințele efectiv produse prin activitatea ilicită, forma calificată fiind incidentă, în principiu, inclusiv atunci când subiectul activ este un magistrat, cu condiția ca prin actul de distrugere concret săvârșit să nu se aducă atingere altor categorii de relații sociale protejate prin norme de incriminare distincte, cum sunt, de exemplu, cele privind înfăptuirea justiției.</w:t>
      </w:r>
    </w:p>
    <w:p w14:paraId="1A7EB7F4"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ipoteza în care, așa cum se constată în speță, distrugerea unui înscris (cu valoare de act procedural) nu reprezintă activitatea unică imputată, ci ea se conjugă cu încălcarea, de către magistratul - subiectiv activ, și a unor obligații impuse de lege cu privire la chiar actul procesual pe care înscrisul distrus îl încorpora (respectiv, trimiterea în judecată), cu efecte asupra bunei desfășurări a raporturilor de serviciu, fapta comisă generează nu doar o stare de pericol pentru relațiile sociale ce iau naștere în sfera autorității, ci și o vătămare a intereselor legitime pe care le reprezintă și apără Ministerul Public. Aceste consecințe multiple, alături de particularitățile de obiect juridic și latură obiectivă ale infracțiunilor supuse analizei, individualizează neechivoc conținutul tipic propriu celor două infracțiuni menționate de recurent și justifică reținerea ambelor incriminări, sub forma pluralității concursului.</w:t>
      </w:r>
    </w:p>
    <w:p w14:paraId="0A63D825"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i/>
          <w:iCs/>
          <w:sz w:val="24"/>
          <w:szCs w:val="24"/>
        </w:rPr>
        <w:lastRenderedPageBreak/>
        <w:t>2. Cu privire la infracțiunea de favorizare a făptuitorului</w:t>
      </w:r>
    </w:p>
    <w:p w14:paraId="3367C860"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cauza de față, starea de fapt valorificată prin decizia recurată constă, în esență, în aceea că, în perioada iulie 2010 - ianuarie 2011, în calitate de prim-procuror al parchetului de pe lângă judecătorie, inculpatul A. a rupt rechizitoriul iniţial întocmit legal de către procurorul B., în lipsa unei soluţii de infirmare şi a repartizat fără nicio soluţie motivată dosarul către un alt procuror, activitate ce se circumscrie ajutorului dat învinuiţilor din acel dosar (C., D. şi E.), în scopul îngreunării cercetărilor în cauza penală instrumentată în cursul urmăririi penale.</w:t>
      </w:r>
    </w:p>
    <w:p w14:paraId="2F7EE8E9"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S-a apreciat că ajutorul dat de către inculpat învinuiţilor a constat tocmai în distrugerea actului de sesizare şi nerespectarea condiţiilor prevăzute de lege, fiind întrunită cerinţa legală a ajutorului, de orice fel, ce a condus la îngreunarea cercetărilor sub aspectul întârzierii desfăşurării urmăririi penale pe o perioadă de timp, până la trimiterea din nou în judecată a făptuitorilor.</w:t>
      </w:r>
    </w:p>
    <w:p w14:paraId="32BA0AE9"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Fapta astfel reținută realizează elementele de conținut obiectiv specifice infracțiunii prevăzute în art. 269 alin. (1) C. pen.</w:t>
      </w:r>
    </w:p>
    <w:p w14:paraId="26416570"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Înalta Curte de Casaţie şi Justiţie reține că avantajul asigurat persoanelor cercetate în dosarul nr. X. al parchetului de pe lângă judecătorie, prin amânarea trimiterii acestora în judecată și prelungirea duratei procesului penal, a constituit un folos necuvenit procurat respectivelor persoane.</w:t>
      </w:r>
    </w:p>
    <w:p w14:paraId="35DD3688"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Din această perspectivă, raportându-se la conținutul factual al acuzațiilor penale, astfel cum se desprinde acesta, în mod real, din ansamblul hotărârii definitive atacate, constată că nu există un raport de inconciliabilitate între folosul astfel configurat (element în conținutul legal al infracțiunii asimilate celei de corupție) și ajutorul circumscris elementului material al infracțiunii de favorizare a făptuitorului.</w:t>
      </w:r>
    </w:p>
    <w:p w14:paraId="0281C5C5"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Activitatea obiectivă imputată inculpatului nu se rezumă la actul unic al distrugerii rechizitoriului, ci ea se conjugă, în cazul abuzului în serviciu, cu încălcarea obligațiilor de serviciu ce îi reveneau acestuia în calitate de prim-procuror, iar în cazul favorizării făptuitorului, cu elementele specifice contextului procesual în care a intervenit acest act ilicit, destinația obiectivă a ajutorului și starea de pericol astfel creată pentru înfăptuirea justiției.</w:t>
      </w:r>
    </w:p>
    <w:p w14:paraId="478CB92F"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Critica recurentului inculpat A. privind lipsa de tipicitate a faptei de favorizare în varianta omisivă a neinfirmării rechizitoriului, față de exigențele art. 17 C. pen. este, de asemenea, nefondată.</w:t>
      </w:r>
    </w:p>
    <w:p w14:paraId="7CA916C4"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Dacă este necontestat că infracțiunea prevăzută în art. 269 alin. (1) C. pen. are caracterul unei infracțiuni de pericol, o atare particularitate nu înseamnă, însă, că favorizarea ar îmbrăca exclusiv forma comisivă, cum neîntemeiat a susținut recurentul inculpat.</w:t>
      </w:r>
    </w:p>
    <w:p w14:paraId="7DDB541C"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Dispozițiile art. 269 alin. (1) C. pen. incriminează ajutorul dat făptuitorului în scopul împiedicării sau îngreunării cercetărilor într-o cauză penală, tragerii la răspundere penală, executării unei pedepse sau măsuri privative de libertate, fără a individualiza sau limita forma pe care o îmbracă acest ajutor ori mijloacele folosite. În doctrină s-a subliniat, de altfel, în mod constant că elementul material al infracțiunii analizate poate îmbrăca forma comisivă, dar și pe cea omisivă, aceasta din urmă concretizată, exemplificativ, în fapta polițistului care, cu intenție, nu îl împiedică pe autorul unei sustrageri de bunuri să fugă de la locul faptei.</w:t>
      </w:r>
    </w:p>
    <w:p w14:paraId="6236C090"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Argumentele expuse supra au, în speță, numai valoarea unor considerente de principiu, de vreme ce ajutorul imputat inculpatului A. s-a concretizat, în principal, într-o acțiune - ruperea rechizitoriului ca act procedural, abținerea inculpatului de la executarea obligației legale de </w:t>
      </w:r>
      <w:r w:rsidRPr="00250C7F">
        <w:rPr>
          <w:rFonts w:ascii="Times New Roman" w:eastAsia="Calibri" w:hAnsi="Times New Roman" w:cs="Times New Roman"/>
          <w:sz w:val="24"/>
          <w:szCs w:val="24"/>
        </w:rPr>
        <w:lastRenderedPageBreak/>
        <w:t>infirmare a actului procesual de trimitere în judecată având semnificație juridică, în principal, din perspectiva acuzației de abuz în serviciu, iar nu a celei contra înfăptuirii justiției supusă analizei.</w:t>
      </w:r>
    </w:p>
    <w:p w14:paraId="69864108"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ceea ce privește susținerea incidenței unui concurs de calificări incompatibile din perspectiva reținerii, raportat la aceeași activitate de distrugere a înscrisului, a infracțiunilor de distrugere sau sustragere de înscrisuri în concurs cu favorizarea făptuitorului, Înalta Curte de Casaţie şi Justiţie face trimitere la considerentele expuse anterior, subliniind, și în acest caz, diferența de obiect juridic protejat prin normele de incriminare prevăzute în art. 259 C. pen. și, respectiv, art. 269 C. pen.</w:t>
      </w:r>
    </w:p>
    <w:p w14:paraId="5E79BF40"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 dacă distrugerea sau sustragerea de înscrisuri protejează relațiile sociale ce iau naștere în sfera autorității, sub aspectul securității înscrisurilor aflate în păstrarea unei persoane prevăzute în art. 175 alin. (2) sau art. 176 C. pen., infracțiunea de favorizare a făptuitorului are ca obiect juridic principal relațiile sociale referitoare la înfăptuirea justiției penale prin descoperirea, cercetarea și judecarea tuturor persoanelor care au comis fapte prevăzute de legea penală.</w:t>
      </w:r>
    </w:p>
    <w:p w14:paraId="7FAAD0F0"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Atunci când, așa cum se constată în speță, actul de favorizare a fost comis printr-un mijloc ce constituie prin el însuși o infracțiune - distrugerea unui înscris - activitatea ilicită îmbracă forma unui concurs de infracțiuni.</w:t>
      </w:r>
    </w:p>
    <w:p w14:paraId="571E8D75"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Contrar susținerilor recurentului, distrugerea unui rechizitoriu nu implică întotdeauna un act de favorizare a făptuitorului. Atunci când, de exemplu, obiectul material al distrugerii îl constituie numai copia certificată a actului de sesizare aflată în păstrarea unității de parchet, fără ca actul ilicit să vizeze însuși rechizitoriul ce însoțește dosarul cauzei, fapta comisă realizează conținutul infracțiunii unice prevăzute în art. 259 C. pen., nu și pe cel al infracțiunii de favorizare a făptuitorului, deoarece, în această ipoteză, prin distrugerea înscrisului nu se creează o stare de pericol pentru relațiile sociale privind înfăptuirea justiției.</w:t>
      </w:r>
    </w:p>
    <w:p w14:paraId="4A25AE86"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Dezlegarea obligatorie a problemei de drept ce a făcut obiectul interpretării instanței supreme, Completul competent să judece recursul în interesul legii, în Decizia nr. 1/2019, publicată în M. Of. nr. 187 din 8 martie 2019, la care a făcut trimitere recurentul, nu se raportează pertinent la particularitățile speței de față.</w:t>
      </w:r>
    </w:p>
    <w:p w14:paraId="22A52F89"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mecanismul de unificare a practicii judiciare, a fost avută în vedere ipoteza reținerii în concurs a două infracțiuni care ocroteau aceeași categorie de relații sociale (respectiv, mărturie mincinoasă și favorizarea făptuitorului), subliniindu-se caracterul de incriminare generală, dar subsidiară, al favorizării în raport cu alte infracțiuni contra înfăptuirii justiției care, prin specificul lor, își păstrează autonomia.</w:t>
      </w:r>
    </w:p>
    <w:p w14:paraId="361D60FA"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Instanța supremă a subliniat, însă, în considerentele aceleiași decizii, că „favorizarea făptuitorului nu poate fi calificată ca o normă generală față de orice altă incriminare din Codul penal sau din legislația specială, prin urmare, în ipoteza în care fapta comisă întrunește elementele constitutive ale unei infracțiuni care aduce atingere altor valori sociale, de pildă ale unei infracțiuni de serviciu sau de corupție, aceasta va fi reținută în concurs cu infracțiunea de favorizare a făptuitorului.” Această ultimă ipoteză este incidentă și în speța de față, infracțiunea prevăzută în art. 269 C. pen. neavând caracterul unei reglementări generale față de norma care incriminează infracțiunea contra autorității a sustragerii sau distrugerii de înscrisuri și putând fi reținută în concurs cu aceasta din urmă.</w:t>
      </w:r>
    </w:p>
    <w:p w14:paraId="201E383B"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i/>
          <w:iCs/>
          <w:sz w:val="24"/>
          <w:szCs w:val="24"/>
        </w:rPr>
        <w:t>3. Cu privire la infracţiunea de sustragere sau distrugere de înscrisuri</w:t>
      </w:r>
    </w:p>
    <w:p w14:paraId="425FE801"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cauza de față, starea de fapt valorificată prin decizia recurată constă, în esență, în aceea că, în calitate de prim-procuror al parchetului de pe lângă judecătorie, în perioada iulie 2010 - </w:t>
      </w:r>
      <w:r w:rsidRPr="00250C7F">
        <w:rPr>
          <w:rFonts w:ascii="Times New Roman" w:eastAsia="Calibri" w:hAnsi="Times New Roman" w:cs="Times New Roman"/>
          <w:sz w:val="24"/>
          <w:szCs w:val="24"/>
        </w:rPr>
        <w:lastRenderedPageBreak/>
        <w:t>ianuarie 2011, inculpatul a distrus prin rupere fizică rechizitoriul întocmit iniţial legal de către procurorul B. în dosarul nr. X. al parchetului de pe lângă judecătorie, care îi fusese predat împreună cu dosarul spre confirmare.</w:t>
      </w:r>
    </w:p>
    <w:p w14:paraId="74544D85"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Fapta astfel reținută realizează elementele de conținut obiectiv ale infracțiunii prevăzute în art. 259 alin. (1) și (2) C. pen.</w:t>
      </w:r>
    </w:p>
    <w:p w14:paraId="612EDB61"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Invocând incidența motivului de recurs în casație prevăzut în art. 438 alin. (1) pct. 7 C. proc. pen., recurentul inculpat A. a susținut, sub un prim aspect, că lipsește cerința de tipicitate obiectivă referitoare la calitatea înscrisului distrus. S-a opinat că, de vreme ce înscrisul supus acțiunii distructive a fost un rechizitoriu, actul de distrugere s-ar circumscrie infracțiunii contra înfăptuirii justiției prevăzute în art. 275 C. pen., iar nu celei pentru care a fost condamnat definitiv.</w:t>
      </w:r>
    </w:p>
    <w:p w14:paraId="5DA30003"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Criticile recurentului inculpat A. sunt nefondate.</w:t>
      </w:r>
    </w:p>
    <w:p w14:paraId="514462E2"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Potrivit art. 259 alin. (1) C. pen., sustragerea sau distrugerea unui înscris care se află în păstrarea ori în deținerea unei persoane dintre cele prevăzute în art. 176 sau art. 175 alin. (2) se pedepsește cu închisoarea de la unu la 5 ani. Alin. (2) al textului incriminează forma agravată a infracțiunii, incidentă atunci când fapta este săvârșită de un subiect activ circumstanțiat, respectiv de un funcționar public aflat în exercitarea atribuțiilor de serviciu, caz în care limitele speciale ale pedepsei se majorează cu o treime.</w:t>
      </w:r>
    </w:p>
    <w:p w14:paraId="4792523D"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Sintagma „înscris care se află în păstrarea ori în deținerea unei persoane dintre cele prevăzute în art. 176 sau art. 175 alin. (2)” desemnează orice înscris care emană sau aparține, printre altele, unei autorități sau instituții publice, inclusiv unei unități de parchet din structura Ministerului Public. Distrugerea unui act procedural cum este rechizitoriul, activitate săvârșită de un procuror aflat în exercițiul funcției, se circumscrie, prin urmare, conținutului infracțiunii prevăzute în art. 259 C. pen.</w:t>
      </w:r>
    </w:p>
    <w:p w14:paraId="5369DBB4"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ceea ce privește susținerea recurentului - în sensul că distrugerea unui act al organului de urmărire penală ar constitui infracțiunea prevăzută în art. 275 C. pen. - Înalta Curte de Casaţie şi Justiţie constată că aceste critici aduc în discuție, în mod esențial, problematica corectei încadrări juridice a faptei ilicite, iar nu pe cea a neprevederii acesteia de legea penală, inculpatul admițând implicit că o conduită de tipul celei descrise intră în sfera legii penale.</w:t>
      </w:r>
    </w:p>
    <w:p w14:paraId="1F1E77A9"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Reiterând specificul și limitele recursului în casație și subliniind că elementele ce țin exclusiv de corecta încadrare juridică a faptei nu pot fi cenzurate în acest cadru, Înalta Curte de Casaţie şi Justiţie apreciază necesar să evidențieze, totuși, particularitățile obiectului material al infracțiunii prevăzute în art. 275 alin. (1) C. pen. și diferențele implicite față de infracțiunea reținută în speță.</w:t>
      </w:r>
    </w:p>
    <w:p w14:paraId="6EE15E1E"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Făcând parte din categoria infracțiunilor contra înfăptuirii justiției, sustragerea sau distrugerea de probe sau înscrisuri are ca obiect material mijloacele materiale de probă sau înscrisurile cu valoare probatorie, fie că este vorba de înscrisuri care, prin conținutul lor, contribuie la aflarea adevărului (respectiv mijloace de probă scrise, în sensul art. 198 C. proc. pen.), fie de înscrisuri care consemnează conținutul altor mijloace de probă și au valoarea unor acte documentar-procedurale (de exemplu, declarația unui martor, rezultatul unei expertize).</w:t>
      </w:r>
    </w:p>
    <w:p w14:paraId="56E488ED"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Rechizitoriul nu intră în sfera înscrisurilor ca mijloace probatorii, întrucât el nu servește la lămurirea faptelor și aflarea adevărului; actul de sesizare a instanței are valoarea unui act procesual oficial învestit cu autoritatea emitentului, prin care se finalizează faza urmăririi penale și se dispune sesizarea instanței de judecată, dinamizându-se procesul penal.</w:t>
      </w:r>
    </w:p>
    <w:p w14:paraId="1865D8D2"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Distrugerea rechizitoriului nu generează, prin urmare, o stare de pericol pentru înfăptuirea justiției, ci pentru relațiile sociale ce iau naștere în sfera autorității, sub aspectul securității înscrisurilor sau a documentelor aflate în deținerea unei autorități sau instituții publice.</w:t>
      </w:r>
    </w:p>
    <w:p w14:paraId="163BB946"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ceea ce privește semnificația activității de predare a rechizitoriului întocmit inițial în dosarul nr. X. de către procurorul B., contrar aprecierii recurentului inculpat, Înalta Curte de Casaţie şi Justiţie consideră că remiterea actului procedural procurorului ierarhic superior, în vederea parcurgerii etapei verificărilor de legalitate și temeinicie prevăzute în art. 327 C. proc. pen., echivalează cu aflarea respectivului înscris în deținerea unității de parchet.</w:t>
      </w:r>
    </w:p>
    <w:p w14:paraId="0C3F62C3" w14:textId="77777777"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fine, măsura în care rechizitoriul era sau nu legal întocmit este irelevantă sub aspectul cerințelor de tipicitate ale infracțiunii prevăzute în art. 259 C. pen., deoarece simpla distrugere a actului procedural în condițiile reținute în speță este suficientă pentru reținerea infracțiunii, fiind irelevant în ce măsură actul procesual al trimiterii în judecată pe care îl încorporează era sau nu unul conform cerințelor legale.</w:t>
      </w:r>
    </w:p>
    <w:p w14:paraId="76BC8C62" w14:textId="48BC5018" w:rsidR="00875B1F" w:rsidRPr="00250C7F" w:rsidRDefault="00875B1F" w:rsidP="000F2C11">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Pentru considerentele expuse, constatând neîntemeiate criticile recurentului inculpat, în temeiul art. 448 alin. (1) pct. 1 C. proc. pen., Înalta Curte de Casaţie şi Justiţie a respins, ca nefondat, recursul în casație formulat de inculpatul A. împotriva deciziei nr. 20/A din 22 ianuarie 2020, pronunțată de Înalta Curte de Casație şi Justiție, Secția penală.</w:t>
      </w:r>
    </w:p>
    <w:p w14:paraId="7B598268" w14:textId="77777777" w:rsidR="000303CA" w:rsidRPr="00250C7F" w:rsidRDefault="000303CA" w:rsidP="000303CA">
      <w:pPr>
        <w:spacing w:after="0" w:line="276" w:lineRule="auto"/>
        <w:jc w:val="both"/>
        <w:rPr>
          <w:rFonts w:ascii="Times New Roman" w:eastAsia="Calibri" w:hAnsi="Times New Roman" w:cs="Times New Roman"/>
          <w:sz w:val="24"/>
          <w:szCs w:val="24"/>
        </w:rPr>
      </w:pPr>
    </w:p>
    <w:p w14:paraId="01EBC4A3" w14:textId="77777777" w:rsidR="00044AD8" w:rsidRPr="00250C7F" w:rsidRDefault="00044AD8" w:rsidP="000F2C11">
      <w:pPr>
        <w:spacing w:after="0" w:line="276" w:lineRule="auto"/>
        <w:jc w:val="both"/>
        <w:rPr>
          <w:rFonts w:ascii="Times New Roman" w:eastAsia="Calibri" w:hAnsi="Times New Roman" w:cs="Times New Roman"/>
          <w:b/>
          <w:sz w:val="24"/>
          <w:szCs w:val="24"/>
        </w:rPr>
      </w:pPr>
    </w:p>
    <w:p w14:paraId="47B94189" w14:textId="20E6DD7E" w:rsidR="00044AD8" w:rsidRPr="00250C7F" w:rsidRDefault="00044AD8" w:rsidP="00CB3E33">
      <w:pPr>
        <w:pStyle w:val="Heading3"/>
        <w:spacing w:before="0" w:line="276" w:lineRule="auto"/>
        <w:jc w:val="both"/>
        <w:rPr>
          <w:rFonts w:ascii="Times New Roman" w:eastAsia="Calibri" w:hAnsi="Times New Roman" w:cs="Times New Roman"/>
          <w:b/>
          <w:color w:val="auto"/>
        </w:rPr>
      </w:pPr>
      <w:bookmarkStart w:id="38" w:name="_Toc84584821"/>
      <w:r w:rsidRPr="00250C7F">
        <w:rPr>
          <w:rFonts w:ascii="Times New Roman" w:eastAsia="Calibri" w:hAnsi="Times New Roman" w:cs="Times New Roman"/>
          <w:b/>
          <w:color w:val="auto"/>
        </w:rPr>
        <w:t xml:space="preserve">2. </w:t>
      </w:r>
      <w:r w:rsidR="00875B1F" w:rsidRPr="00250C7F">
        <w:rPr>
          <w:rFonts w:ascii="Times New Roman" w:eastAsia="Calibri" w:hAnsi="Times New Roman" w:cs="Times New Roman"/>
          <w:b/>
          <w:color w:val="auto"/>
        </w:rPr>
        <w:t>Uzurparea funcţiei. Instigare la lipsire de libertate în mod ilegal. Instigare la lovire sau alte violenţe. Analiza elementelor de tipicitate</w:t>
      </w:r>
      <w:bookmarkEnd w:id="38"/>
    </w:p>
    <w:p w14:paraId="53CBDEFF" w14:textId="77777777" w:rsidR="009F6D20" w:rsidRPr="00250C7F" w:rsidRDefault="009F6D20" w:rsidP="00CB3E33">
      <w:pPr>
        <w:spacing w:after="0" w:line="240" w:lineRule="auto"/>
      </w:pPr>
    </w:p>
    <w:p w14:paraId="004C2AA4" w14:textId="62909A6A" w:rsidR="00044AD8" w:rsidRPr="00250C7F" w:rsidRDefault="00875B1F" w:rsidP="00CB3E33">
      <w:pPr>
        <w:spacing w:after="0" w:line="240" w:lineRule="auto"/>
        <w:jc w:val="right"/>
        <w:rPr>
          <w:rFonts w:ascii="Times New Roman" w:eastAsia="Calibri" w:hAnsi="Times New Roman" w:cs="Times New Roman"/>
          <w:sz w:val="24"/>
          <w:szCs w:val="24"/>
        </w:rPr>
      </w:pPr>
      <w:r w:rsidRPr="00250C7F">
        <w:rPr>
          <w:rFonts w:ascii="Times New Roman" w:eastAsia="Calibri" w:hAnsi="Times New Roman" w:cs="Times New Roman"/>
          <w:sz w:val="24"/>
          <w:szCs w:val="24"/>
        </w:rPr>
        <w:t>C. pen., art. 47, art. 193, art. 205, art. 300</w:t>
      </w:r>
    </w:p>
    <w:p w14:paraId="6080C0B4" w14:textId="77777777" w:rsidR="00875B1F" w:rsidRPr="00250C7F" w:rsidRDefault="00875B1F" w:rsidP="00891584">
      <w:pPr>
        <w:spacing w:after="0" w:line="276" w:lineRule="auto"/>
        <w:jc w:val="right"/>
        <w:rPr>
          <w:rFonts w:ascii="Times New Roman" w:eastAsia="Calibri" w:hAnsi="Times New Roman" w:cs="Times New Roman"/>
          <w:sz w:val="24"/>
          <w:szCs w:val="24"/>
        </w:rPr>
      </w:pPr>
    </w:p>
    <w:p w14:paraId="30EE8637" w14:textId="77777777" w:rsidR="00875B1F" w:rsidRPr="00250C7F" w:rsidRDefault="00875B1F" w:rsidP="000F2C11">
      <w:pPr>
        <w:spacing w:after="0" w:line="276" w:lineRule="auto"/>
        <w:ind w:firstLine="708"/>
        <w:jc w:val="both"/>
        <w:rPr>
          <w:rFonts w:ascii="Times New Roman" w:eastAsia="Times New Roman" w:hAnsi="Times New Roman" w:cs="Times New Roman"/>
          <w:i/>
          <w:color w:val="333333"/>
          <w:sz w:val="24"/>
          <w:szCs w:val="24"/>
          <w:lang w:eastAsia="ro-RO"/>
        </w:rPr>
      </w:pPr>
      <w:r w:rsidRPr="00250C7F">
        <w:rPr>
          <w:rFonts w:ascii="Times New Roman" w:eastAsia="Times New Roman" w:hAnsi="Times New Roman" w:cs="Times New Roman"/>
          <w:i/>
          <w:color w:val="333333"/>
          <w:sz w:val="24"/>
          <w:szCs w:val="24"/>
          <w:lang w:eastAsia="ro-RO"/>
        </w:rPr>
        <w:t>1. Infracțiunea de uzurpare a funcţiei, reglementată în art. 300 C. pen., constă în fapta funcţionarului public care, în timpul serviciului, îndeplineşte un act ce nu intră în atribuţiile sale, dacă prin aceasta s-a produs una dintre urmările prevăzute în art. 297 C. pen. (o pagubă sau o vătămare a drepturilor ori a intereselor legitime ale unei persoane fizice sau ale unei persoane juridice) şi presupune uzurparea, de către subiectul activ, a atribuțiilor funcţiei exercitate de o altă persoană. În consecinţă, fapta primarului de a conduce microbuzul şcolar destinat transportului elevilor, în scopul de a asigura transportul preşedinţilor secţiilor de votare în vederea preluării materialelor electorale necesare în cadrul unui scrutin, nu întruneşte elementele de tipicitate ale infracţiunii de uzurpare a funcţiei prevăzută în art. 300 C. pen., în condiţiile în care atribuţiile funcţiei de şofer al microbuzului şcolar erau circumscrise la conducerea acestui autovehicul în scopul transportului elevilor.</w:t>
      </w:r>
    </w:p>
    <w:p w14:paraId="499FA6F3" w14:textId="77777777" w:rsidR="00875B1F" w:rsidRPr="00250C7F" w:rsidRDefault="00875B1F" w:rsidP="000F2C11">
      <w:pPr>
        <w:spacing w:after="0" w:line="276" w:lineRule="auto"/>
        <w:ind w:firstLine="708"/>
        <w:jc w:val="both"/>
        <w:rPr>
          <w:rFonts w:ascii="Times New Roman" w:eastAsia="Times New Roman" w:hAnsi="Times New Roman" w:cs="Times New Roman"/>
          <w:i/>
          <w:color w:val="333333"/>
          <w:sz w:val="24"/>
          <w:szCs w:val="24"/>
          <w:lang w:eastAsia="ro-RO"/>
        </w:rPr>
      </w:pPr>
      <w:r w:rsidRPr="00250C7F">
        <w:rPr>
          <w:rFonts w:ascii="Times New Roman" w:eastAsia="Times New Roman" w:hAnsi="Times New Roman" w:cs="Times New Roman"/>
          <w:i/>
          <w:color w:val="333333"/>
          <w:sz w:val="24"/>
          <w:szCs w:val="24"/>
          <w:lang w:eastAsia="ro-RO"/>
        </w:rPr>
        <w:t xml:space="preserve">2. Determinarea unor persoane să priveze de libertate pe autorul infracțiunii de ultraj prin amenințare comisă în sediul unei instituţii întrunește elementele de tipicitate ale instigării la infracţiunea de lipsire de libertate în mod ilegal, prevăzută în art. 47 raportat la art. 205 alin. (1) C. pen., în ipoteza în care nu sunt îndeplinite condiţiile prevăzute în art. 310 raportat la art. 293 alin. (1) şi (2) C. proc. pen., referitoare la infracţiunea flagrantă, întrucât autorul infracţiunii de ultraj nu a fost privat de libertate imediat după săvârşirea infracţiunii, ci la un interval de 30 de minute în care a desfăşurat, în mod neîngrădit, diverse activităţi în sediul instituţiei şi în afara acestuia, nu a fost urmărit imediat după săvârşirea infracţiunii şi nu a fost surprins aproape de locul comiterii infracțiunii cu arme, instrumente sau orice alte obiecte de natură a-l presupune </w:t>
      </w:r>
      <w:r w:rsidRPr="00250C7F">
        <w:rPr>
          <w:rFonts w:ascii="Times New Roman" w:eastAsia="Times New Roman" w:hAnsi="Times New Roman" w:cs="Times New Roman"/>
          <w:i/>
          <w:color w:val="333333"/>
          <w:sz w:val="24"/>
          <w:szCs w:val="24"/>
          <w:lang w:eastAsia="ro-RO"/>
        </w:rPr>
        <w:lastRenderedPageBreak/>
        <w:t>participant la infracțiune, fiind privat de libertate după revenirea în sediul instituţiei în scopul ridicării unor cereri înregistrate anterior.</w:t>
      </w:r>
    </w:p>
    <w:p w14:paraId="0CD4903F" w14:textId="57596AD4" w:rsidR="00875B1F" w:rsidRPr="00250C7F" w:rsidRDefault="00875B1F" w:rsidP="000F2C11">
      <w:pPr>
        <w:spacing w:after="0" w:line="276" w:lineRule="auto"/>
        <w:ind w:firstLine="708"/>
        <w:jc w:val="both"/>
        <w:rPr>
          <w:rFonts w:ascii="Times New Roman" w:eastAsia="Times New Roman" w:hAnsi="Times New Roman" w:cs="Times New Roman"/>
          <w:i/>
          <w:color w:val="333333"/>
          <w:sz w:val="24"/>
          <w:szCs w:val="24"/>
          <w:lang w:eastAsia="ro-RO"/>
        </w:rPr>
      </w:pPr>
      <w:r w:rsidRPr="00250C7F">
        <w:rPr>
          <w:rFonts w:ascii="Times New Roman" w:eastAsia="Times New Roman" w:hAnsi="Times New Roman" w:cs="Times New Roman"/>
          <w:i/>
          <w:color w:val="333333"/>
          <w:sz w:val="24"/>
          <w:szCs w:val="24"/>
          <w:lang w:eastAsia="ro-RO"/>
        </w:rPr>
        <w:t>3. Determinarea autorilor infracţiunii prevăzute în art. 205 alin. (1) C. pen. la lovirea şi exercitarea de acte de violenţă asupra persoanei lipsite de libertate în mod ilegal, la momentul şi pe durata privării de libertate, întruneşte şi el</w:t>
      </w:r>
      <w:r w:rsidR="00A42318">
        <w:rPr>
          <w:rFonts w:ascii="Times New Roman" w:eastAsia="Times New Roman" w:hAnsi="Times New Roman" w:cs="Times New Roman"/>
          <w:i/>
          <w:color w:val="333333"/>
          <w:sz w:val="24"/>
          <w:szCs w:val="24"/>
          <w:lang w:eastAsia="ro-RO"/>
        </w:rPr>
        <w:t>emen</w:t>
      </w:r>
      <w:r w:rsidRPr="00250C7F">
        <w:rPr>
          <w:rFonts w:ascii="Times New Roman" w:eastAsia="Times New Roman" w:hAnsi="Times New Roman" w:cs="Times New Roman"/>
          <w:i/>
          <w:color w:val="333333"/>
          <w:sz w:val="24"/>
          <w:szCs w:val="24"/>
          <w:lang w:eastAsia="ro-RO"/>
        </w:rPr>
        <w:t>tele de tipicitate ale instigării la infracţiunea distinctă prevăzută în art. 193 alin. (1) C. pen. </w:t>
      </w:r>
    </w:p>
    <w:p w14:paraId="35312B8B" w14:textId="77777777" w:rsidR="00044AD8" w:rsidRPr="00250C7F" w:rsidRDefault="00044AD8" w:rsidP="00891584">
      <w:pPr>
        <w:spacing w:after="0" w:line="276" w:lineRule="auto"/>
        <w:jc w:val="right"/>
        <w:rPr>
          <w:rFonts w:ascii="Times New Roman" w:eastAsia="Calibri" w:hAnsi="Times New Roman" w:cs="Times New Roman"/>
          <w:sz w:val="24"/>
          <w:szCs w:val="24"/>
        </w:rPr>
      </w:pPr>
    </w:p>
    <w:p w14:paraId="3A604CBD" w14:textId="45574549" w:rsidR="00044AD8" w:rsidRPr="00250C7F" w:rsidRDefault="00044AD8" w:rsidP="00891584">
      <w:pPr>
        <w:spacing w:after="0" w:line="276" w:lineRule="auto"/>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I.C.C.J., Secţia penală, decizia nr. </w:t>
      </w:r>
      <w:r w:rsidR="00875B1F" w:rsidRPr="00250C7F">
        <w:rPr>
          <w:rFonts w:ascii="Times New Roman" w:eastAsia="Calibri" w:hAnsi="Times New Roman" w:cs="Times New Roman"/>
          <w:sz w:val="24"/>
          <w:szCs w:val="24"/>
        </w:rPr>
        <w:t>40/RC din 29 ianuarie 2021</w:t>
      </w:r>
    </w:p>
    <w:p w14:paraId="1B6CAEF4" w14:textId="77777777" w:rsidR="00044AD8" w:rsidRPr="00250C7F" w:rsidRDefault="00044AD8" w:rsidP="00891584">
      <w:pPr>
        <w:spacing w:after="0" w:line="276" w:lineRule="auto"/>
        <w:jc w:val="right"/>
        <w:rPr>
          <w:rFonts w:ascii="Times New Roman" w:eastAsia="Calibri" w:hAnsi="Times New Roman" w:cs="Times New Roman"/>
          <w:sz w:val="24"/>
          <w:szCs w:val="24"/>
        </w:rPr>
      </w:pPr>
    </w:p>
    <w:p w14:paraId="1A8927E3"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Prin sentinţa penală nr. 233 din 27 martie 2019, pronunţată de Judecătoria Rădăuţi, s-au hotărât, printre altele, următoarele:</w:t>
      </w:r>
    </w:p>
    <w:p w14:paraId="1ACBEEA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baza art. 396 alin. (1) şi (5) C. proc. pen. raportat la art. 16 alin. (1) lit. b) teza a II-a C. proc. pen., a fost achitat inculpatul A. sub aspectul săvârşirii infracţiunilor de instigare la lipsire de libertate în mod ilegal, prevăzută în art. 25 C. pen. anterior raportat la art. 189 alin. (2) C. pen. anterior, cu aplicarea art. 5 C. pen. şi uzurparea funcţiei, prevăzută în art. 300 C. pen.</w:t>
      </w:r>
    </w:p>
    <w:p w14:paraId="1C8E750D"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baza art. 396 alin. (1) şi (5) C. proc. pen. raportat la art. 16 alin. (1) lit. a C. proc. pen., a fost achitat inculpatul A. sub aspectul săvârşirii infracţiunii de instigare la vătămare corporală, prevăzută în art. 25 C. pen. anterior raportat la art. 181 alin. (1) C. pen. anterior, cu aplicarea art. 5 C. pen.</w:t>
      </w:r>
    </w:p>
    <w:p w14:paraId="202D300B"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baza art. 396 alin. (1) şi (2) C. proc. pen. raportat la art. 61 C. pen., a fost condamnat inculpatul A. la pedeapsa de 4.000 lei amendă penală pentru săvârşirea infracţiunii de conducere pe drumurile publice a unui vehicul pentru care legea prevede obligativitatea deţinerii permisului de conducere de către o persoană al cărei permis este necorespunzător categoriei sau subcategoriei din care face parte vehiculul respectiv, prevăzută în art. 335 alin. (2) C. pen.</w:t>
      </w:r>
    </w:p>
    <w:p w14:paraId="0098D1F1"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temeiul art. 61 alin. (2) şi (4) lit. c) C. pen., s-a constatat că amenda aplicată corespunde unui număr de 200 zile-amendă, suma corespunzătoare unei zile-amendă fiind de 20 lei.</w:t>
      </w:r>
    </w:p>
    <w:p w14:paraId="01BACA05"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S-a constatat că prin sentinţa penală nr. 737 din 1 noiembrie 2017 a Judecătoriei Rădăuţi, definitivă prin decizia penală nr. 6 din 8 ianuarie 2018 a Curţii de Apel Suceava, inculpatul A. a fost condamnat pentru săvârşirea infracţiunii continue de nerecuperare a prejudiciilor, ca urmare a nedispunerii de conducerea entităţii a măsurilor transmise de Curtea de Conturi, prevăzută în art. 64 alin. (1) din Legea nr. 94/1992, cu aplicarea art. 61 C. pen., la pedeapsa de 3.000 lei amendă penală, infracţiunea fiind concurentă cu infracţiunea pentru care inculpatul a fost condamnat în cauză.</w:t>
      </w:r>
    </w:p>
    <w:p w14:paraId="75E4CF85"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temeiul art. 61 alin. (2) şi (4) lit. c) C. pen., s-a constatat că amenda aplicată inculpatului corespunde unui număr de 100 zile-amendă, suma corespunzătoare unei zile-amendă fiind de 30 lei.</w:t>
      </w:r>
    </w:p>
    <w:p w14:paraId="65FA256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baza art. 38 alin. (1) şi art. 39 alin. (1) lit. c) C. pen., s-a contopit pedeapsa aplicată inculpatului prin sentinţa penală anterior menţionată cu cea aplicată în cauză şi s-a aplicat acestuia pedeapsa cea mai grea, de 4.000 lei, la care s-a adăugat un spor de o treime din cealaltă pedeapsă, respectiv 1.000 lei, rezultând o pedeapsă de 5.000 lei amendă penală.</w:t>
      </w:r>
    </w:p>
    <w:p w14:paraId="4878AF5D"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S-a constatat că inculpatul a achitat amenda penală în cuantum de 3.000 lei, astfel că s-a dedus din pedeapsa rezultantă suma achitată, inculpatul urmând a achita restul de amendă penală, în sumă de 2.000 lei, căreia îi corespund un număr de 100 zile-amendă, suma corespunzătoare unei zile-amendă fiind de 20 lei.</w:t>
      </w:r>
    </w:p>
    <w:p w14:paraId="58EC544E"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lastRenderedPageBreak/>
        <w:t>S-au pus în vedere inculpatului A. dispoziţiile art. 63 şi art. 64 C. pen.</w:t>
      </w:r>
    </w:p>
    <w:p w14:paraId="7D6B2626"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Prin aceeaşi hotărâre s-au pronunţată soluţii şi cu privire la inculpaţii B., C., D., E. şi F.</w:t>
      </w:r>
    </w:p>
    <w:p w14:paraId="12A37CA3"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Prin decizia nr. 303 din 10 martie 2020, pronunţată de Curtea de Apel Suceava, Secţia penală şi pentru cauze cu minori, s-au decis, printre altele, următoarele:</w:t>
      </w:r>
    </w:p>
    <w:p w14:paraId="24F1445F"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S-a respins, ca nefondat, apelul declarat de inculpatul A. împotriva sentinţei penale nr. 233 din 27 martie 2019 a Judecătoriei Rădăuţi.</w:t>
      </w:r>
    </w:p>
    <w:p w14:paraId="56D8AB1B"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S-a admis apelul declarat de procuror împotriva aceleiaşi sentinţe, care a fost desfiinţată, în parte, iar în rejudecare, printre altele:</w:t>
      </w:r>
    </w:p>
    <w:p w14:paraId="5129064C"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S-au înlăturat din sentinţa apelată, în ceea ce îl priveşte pe inculpatul A., dispoziţiile referitoare la aplicarea art. 63 şi art. 64 C. pen., art. 38 alin. (1) şi art. 39 alin. (1) lit. c) C. pen. şi la achitarea inculpatului sub aspectul săvârşirii infracţiunilor prevăzute în art. 25 C. pen. anterior raportat la art. 189 alin. (2) C. pen. anterior, art. 300 C. pen. şi art. 25 C. pen. anterior raportat la art. 181 alin. (1) C. pen. anterior.</w:t>
      </w:r>
    </w:p>
    <w:p w14:paraId="2DE3632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1. S-a dispus condamnarea inculpatului A. la pedeapsa de 2 ani şi 6 luni închisoare pentru săvârşirea infracţiunii de instigare la lipsire de libertate în mod ilegal, prevăzută în art. 47 C. pen. raportat la art. 205 alin. (1) C. pen., cu aplicarea art. 5 C. pen.</w:t>
      </w:r>
    </w:p>
    <w:p w14:paraId="075EDACF"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temeiul art. 65 alin. (1) C. pen., s-a aplicat inculpatului pedeapsa accesorie a interzicerii exercitării drepturilor prevăzute în art. 66 alin. (1) lit. a) şi b) C. pen.</w:t>
      </w:r>
    </w:p>
    <w:p w14:paraId="5CFCE74D"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baza art. 67 alin. (1) C. pen., s-a aplicat inculpatului pedeapsa complementară având acelaşi conţinut, pe o durată de 4 ani.</w:t>
      </w:r>
    </w:p>
    <w:p w14:paraId="6D426656"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2. S-a dispus condamnarea inculpatului A. la pedeapsa de 6 luni închisoare pentru săvârşirea infracţiunii de instigare la lovire sau alte violenţe, prevăzută în art. 47 C. pen. raportat la art. 193 alin. (1) C. pen., cu aplicarea art. 5 C. pen.</w:t>
      </w:r>
    </w:p>
    <w:p w14:paraId="275CEAA1"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temeiul art. 65 alin. (1) C. pen., s-a aplicat inculpatului pedeapsa accesorie a interzicerii exercitării drepturilor prevăzute în art. 66 alin. (1) lit. a) şi b) C. pen.</w:t>
      </w:r>
    </w:p>
    <w:p w14:paraId="32A1DFDB"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baza art. 67 alin. (1) C. pen., s-a aplicat inculpatului pedeapsa complementară având acelaşi conţinut, pe o durată de 4 ani.</w:t>
      </w:r>
    </w:p>
    <w:p w14:paraId="0715A556"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3. S-a dispus condamnarea inculpatului A. la pedeapsa de 2 ani închisoare pentru săvârşirea infracţiunii de uzurpare a funcţiei, prevăzută în art. 300 C. pen.</w:t>
      </w:r>
    </w:p>
    <w:p w14:paraId="6474806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temeiul art. 65 alin. (1) C. pen., s-a aplicat inculpatului pedeapsa accesorie a interzicerii exercitării drepturilor prevăzute în art. 66 alin. (1) lit. a) şi b) C. pen.</w:t>
      </w:r>
    </w:p>
    <w:p w14:paraId="646DBC3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baza art. 67 alin. (1) C. pen., s-a aplicat inculpatului pedeapsa complementară având acelaşi conţinut, pe o durată de 4 ani.</w:t>
      </w:r>
    </w:p>
    <w:p w14:paraId="60D96B0E"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baza art. 38 alin. (1) şi art. 39 alin. (1) lit. e) C. pen., s-a aplicat inculpatului A. pedeapsa cea mai mare, de 2 ani şi 6 luni închisoare, la care s-a adăugat un spor de o treime din celelalte pedepse cu închisoarea, respectiv 10 luni închisoare, precum şi pedeapsa amenzii calculată potrivit art. 39 alin. (1) lit. c) C. pen., respectiv 5.000 lei amendă penală, dispunându-se ca, în final, inculpatul să execute pedeapsa rezultantă de 3 ani şi 4 luni închisoare şi 5.000 lei amendă penală.</w:t>
      </w:r>
    </w:p>
    <w:p w14:paraId="0FECEE53"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temeiul art. 45 alin. (5) C. pen. raportat art. 45 alin. (3) lit. a) şi art. 65 alin. (1) C. pen., s-a aplicat inculpatului pedeapsa accesorie a interzicerii exercitării drepturilor prevăzute în art. 66 alin. (1) lit. a) şi b) C. pen.</w:t>
      </w:r>
    </w:p>
    <w:p w14:paraId="0F7FB1C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 xml:space="preserve">În baza art. 45 alin. (3) lit. a) raportat la art. 67 alin. (1) C. pen., s-a aplicat inculpatului pedeapsa complementară a interzicerii exercitării drepturilor prevăzute în art. 66 alin. (1) lit. a) şi </w:t>
      </w:r>
      <w:r w:rsidRPr="00250C7F">
        <w:rPr>
          <w:rFonts w:ascii="Times New Roman" w:eastAsia="Times New Roman" w:hAnsi="Times New Roman" w:cs="Times New Roman"/>
          <w:color w:val="333333"/>
          <w:sz w:val="24"/>
          <w:szCs w:val="24"/>
          <w:lang w:eastAsia="ro-RO"/>
        </w:rPr>
        <w:lastRenderedPageBreak/>
        <w:t>b) C. pen., pe o durată de 4 ani, pedeapsă ce se va executa în condiţiile art. 68 alin. (1) lit. c) C. pen.</w:t>
      </w:r>
    </w:p>
    <w:p w14:paraId="30D31D85"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S-au menţinut celelalte dispoziţii ale sentinţei penale apelate, care nu sunt contrare deciziei.</w:t>
      </w:r>
    </w:p>
    <w:p w14:paraId="2E203A14"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Împotriva deciziei nr. 303 din 10 martie 2020 pronunţată de Curtea de Apel Suceava, Secţia penală şi pentru cauze cu minori a declarat recurs în casaţie, în termen legal, inculpatul A., prin apărători aleşi.</w:t>
      </w:r>
    </w:p>
    <w:p w14:paraId="2560E50A"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motivarea căii de atac, apărarea a invocat cazul de recurs în casație prevăzut în art. 438 alin. (1) pct. 7 C. proc. pen., în argumentarea căruia a susținut că infracţiunile de uzurpare a funcţiei, instigare la lipsire de libertate în mod ilegal şi instigare la lovire sau alte violenţe, pentru care a fost condamnat definitiv în apel, nu sunt prevăzute de legea penală.</w:t>
      </w:r>
    </w:p>
    <w:p w14:paraId="113F66F6"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Constatând că cererea de recurs în casaţie formulată de inculpatul A. este introdusă în termenul prevăzut de lege şi respectă condiţiile prevăzute în art. 434, art. 436, art. 437 şi art. 438 C. proc. pen., prin încheierea din data de 2 decembrie 2020, Înalta Curte de Casaţie şi Justiţie, judecătorul de filtru, a admis-o, în principiu, și a dispus trimiterea cauzei la completul de 3 judecători, în vederea judecării pe fond a căii de atac.</w:t>
      </w:r>
    </w:p>
    <w:p w14:paraId="485D92EE"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Analizând recursul în casaţie formulat de inculpatul A., în limitele prevăzute în art. 442 alin. (1) şi (2) C. proc. pen., Înalta Curte de Casaţie şi Justiţie reţine, în principal, următoarele:</w:t>
      </w:r>
    </w:p>
    <w:p w14:paraId="48DA8AB4"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Cu titlu prealabil, constată că, fiind reglementat ca o cale extraordinară de atac, menită să asigure echilibrul între principiul legalităţii, pe de o parte, şi principiul respectării autorităţii de lucru judecat, pe de altă parte, recursul în casaţie permite cenzurarea legalității unei categorii limitate de hotărâri definitive şi numai pentru motive expres prevăzute de legea procesual penală. În acest sens, dispoziţiile art. 433 C. proc. pen. reglementează explicit scopul căii de atac analizate, statuând că acest mecanism urmărește să supună Înaltei Curți de Casaţie şi Justiţie judecarea, în condiţiile legii, a conformității hotărârii atacate cu regulile de drept aplicabile.</w:t>
      </w:r>
    </w:p>
    <w:p w14:paraId="0307F7DB"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Analiza de legalitate a instanţei de recurs nu este, însă, una exhaustivă, ci limitată la încălcări ale legii apreciate grave de către legiuitor şi reglementate ca atare, în mod expres și limitativ, în cuprinsul art. 438 alin. (1) C. proc. pen.</w:t>
      </w:r>
    </w:p>
    <w:p w14:paraId="63BC4594"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fine, recursul în casaţie nu permite reevaluarea unor elemente sau împrejurări factuale stabilite cu autoritate de lucru judecat de către instanțele de fond, Înalta Curte de Casaţie şi Justiţie nefiind abilitată, în procedura extraordinară supusă analizei, să dea o nouă interpretare materialului probator şi să rețină o stare de fapt diferită de cea descrisă și valorificată ca atare în hotărârea atacată. Aceasta deoarece instanţa de casație nu judecă procesul propriu-zis, respectiv litigiul care are ca temei juridic cauza penală, ci judecă numai dacă, din punct de vedere al dreptului, hotărârea atacată este corespunzătoare.</w:t>
      </w:r>
    </w:p>
    <w:p w14:paraId="48C6216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cauza de faţă, recurentul inculpat A. a invocat cazul de recurs în casaţie prevăzut în art. 438 alin. (1) pct. 7 C. proc. pen., potrivit căruia hotărârile sunt supuse casării atunci când „inculpatul a fost condamnat pentru o faptă care nu este prevăzută de legea penală.”</w:t>
      </w:r>
    </w:p>
    <w:p w14:paraId="73FB2BD9"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 xml:space="preserve">Înalta Curte de Casaţie şi Justiţie reține că, în principiu, sintagma „nu este prevăzută de legea penală”, circumscrisă cazului de casare invocat, privește situațiile în care condamnarea se bazează pe ipoteze de incriminare care nu sunt prevăzute de lege, respectiv, nu au făcut niciodată obiectul incriminării sau în privința lor a operat dezincriminarea. În calea extraordinară de atac a recursului în casație, analiza acestor ipoteze se raportează, întotdeauna și exclusiv, la starea de </w:t>
      </w:r>
      <w:r w:rsidRPr="00250C7F">
        <w:rPr>
          <w:rFonts w:ascii="Times New Roman" w:eastAsia="Times New Roman" w:hAnsi="Times New Roman" w:cs="Times New Roman"/>
          <w:color w:val="333333"/>
          <w:sz w:val="24"/>
          <w:szCs w:val="24"/>
          <w:lang w:eastAsia="ro-RO"/>
        </w:rPr>
        <w:lastRenderedPageBreak/>
        <w:t>fapt reţinută cu titlu definitiv în decizia instanței de apel, instanța supremă nefiind abilitată să reevalueze, în acest cadru procesual, temeinicia faptelor reținute ori suportul lor probatoriu.</w:t>
      </w:r>
    </w:p>
    <w:p w14:paraId="05CE2B15"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contextul acestor argumente de principiu, examinând criticile concret formulate de recurentul inculpat A., Înalta Curte de Casație și Justiție constată următoarele:</w:t>
      </w:r>
    </w:p>
    <w:p w14:paraId="515772DC"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i/>
          <w:iCs/>
          <w:color w:val="333333"/>
          <w:sz w:val="24"/>
          <w:szCs w:val="24"/>
          <w:lang w:eastAsia="ro-RO"/>
        </w:rPr>
        <w:t>1. Cu privire la infracţiunea de uzurpare a funcţiei:</w:t>
      </w:r>
    </w:p>
    <w:p w14:paraId="22DE3E89"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Starea de fapt valorificată prin decizia recurată raportat la infracţiunea analizată constă, în esență, în aceea că, la data de 14 noiembrie 2014, inculpatul A. - care, în calitate de primar al comunei G., trebuia să asigure transportul preşedinţilor secţiilor de votare la aeroportul H. pentru a prelua buletinele de vot pentru scrutinul care trebuia să aibă loc a doua zi - a condus pe drumurile publice dintre comunele G. şi H. microbuzul, proprietatea şcolii din G.</w:t>
      </w:r>
    </w:p>
    <w:p w14:paraId="4311D4BA" w14:textId="77777777" w:rsidR="00875B1F" w:rsidRPr="00250C7F" w:rsidRDefault="00875B1F" w:rsidP="000F2C11">
      <w:pPr>
        <w:spacing w:after="0" w:line="276" w:lineRule="auto"/>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 </w:t>
      </w:r>
      <w:r w:rsidRPr="00250C7F">
        <w:rPr>
          <w:rFonts w:ascii="Times New Roman" w:eastAsia="Times New Roman" w:hAnsi="Times New Roman" w:cs="Times New Roman"/>
          <w:color w:val="333333"/>
          <w:sz w:val="24"/>
          <w:szCs w:val="24"/>
          <w:lang w:eastAsia="ro-RO"/>
        </w:rPr>
        <w:tab/>
        <w:t>În acest sens, i-a solicitat lui I., angajat al primăriei G. în funcţia de conducător auto al autoturismului anterior menţionat, cheile acestei maşini, iar în faţa refuzului martorului de a i le preda, i-a amintit că este primarul comunei şi că el a adus autovehiculul de la Bucureşti.</w:t>
      </w:r>
    </w:p>
    <w:p w14:paraId="1E1ABDF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Ulterior, a luat cheile de contact de la martorul I., fără să obţină acordul conducerii şcolii din G., şi a condus acest autovehicul pe drumurile publice, fără a avea ca sarcină, în calitatea sa de primar, conducerea autovehiculelor în scopul îndeplinirii atribuţiilor de serviciu.</w:t>
      </w:r>
    </w:p>
    <w:p w14:paraId="02F555EA"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Invocând incidența motivului de recurs în casație prevăzut în art. 438 alin. (1) pct. 7 C. proc. pen., inculpatul A. a susținut că fapta reținută prin decizia recurată nu corespunde tiparului obiectiv al infracțiunii prevăzute în art. 300 C. pen.</w:t>
      </w:r>
    </w:p>
    <w:p w14:paraId="18EDAE8D"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acest sens, susţinând că norma de incriminare este neclară sub aspectul persoanei a cărei funcţie este uzurpată, recurentul a arătat că, în cazul în care legea este interpretată în sensul că fapta vizează funcţia proprie a uzurpatorului, se impune a se constata că, în speţă, prin activitatea desfăşurată, el nu şi-a depăşit atribuţiile de serviciu, întrucât legile electorale instituie în sarcina primarului activitatea de distribuire a materialelor electorale. Ca urmare, fapta reţinută în sarcina sa nu îndeplineşte condiţiile de tipicitate ale infracţiunii de uzurpare a funcţiei, lipsind cerința ca activitatea desfăşurată să nu intre în atribuţiile de serviciu ale făptuitorului.</w:t>
      </w:r>
    </w:p>
    <w:p w14:paraId="714E281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 mai arătat că fapta reţinută în sarcina sa nu corespunde tiparului obiectiv al infracţiunii prevăzute în art. 300 C. pen. nici în cazul interpretării normei ca vizând funcţia unui terţ, în speţă, a şoferului microbuzului şcolar, întrucât inculpatul nu a exercitat atribuţia de serviciu a acestuia, respectiv aceea de conducere a autovehiculului pentru transportul elevilor.</w:t>
      </w:r>
    </w:p>
    <w:p w14:paraId="5E642B01"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Prin urmare, oricare ar fi interpretarea dată prevederilor art. 300 C. pen., în cauză nu sunt îndeplinite elementele de tipicitate obiectivă ale infracţiunii de uzurpare a funcţiei, nefiind uzurpată nici funcţia de primar și nici funcţia specifică a conducătorului microbuzului şcolar.</w:t>
      </w:r>
    </w:p>
    <w:p w14:paraId="43D2B7EE"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Criticile recurentului inculpat sunt parţial întemeiate.</w:t>
      </w:r>
    </w:p>
    <w:p w14:paraId="05E6F4E4"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Potrivit art. 300 C. pen., infracţiunea de uzurpare a funcţiei constă în fapta funcţionarului public care, în timpul serviciului, îndeplineşte un act ce nu intră în atribuţiile sale, dacă prin aceasta s-a produs una dintre urmările prevăzute în art. 297, respectiv o pagubă ori o vătămare a drepturilor sau intereselor legitime ale unei persoane fizice sau ale unei persoane juridice.</w:t>
      </w:r>
    </w:p>
    <w:p w14:paraId="084D70A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Fiind menită să asigure respectarea diviziunii competenţelor funcţionarilor publici şi, prin aceasta, buna funcţionare a unităţilor în care aceştia îşi desfăşoară activitatea, infracţiunea analizată sancţionează orice conduită a funcţionarului public prin care, în mod intenţionat, îşi depăşeşte atribuţiile de serviciu şi care are ca rezultat una dintre urmările specifice infracţiunii de abuz în serviciu.</w:t>
      </w:r>
    </w:p>
    <w:p w14:paraId="1DE65A88"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lastRenderedPageBreak/>
        <w:t>Presupunând, prin urmare, îndeplinirea, de către un funcţionar public, în timpul serviciului, a unui act ce excedează atribuțiilor ce îi revin în virtutea funcţiei deținute, dispozițiile art. 300 C. pen. incriminează uzurparea, de către subiectul activ, a atribuțiilor funcţiei exercitate de o altă persoană.</w:t>
      </w:r>
    </w:p>
    <w:p w14:paraId="292BD3EC"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Concluzia exprimată este susţinută şi de argumente de interpretare gramaticală, Dicţionarul explicativ al limbii române definind verbul „a uzurpa” - prin acţiunea de „a-și însuși în mod abuziv drepturi, demnități, bunuri care aparțin altuia.”</w:t>
      </w:r>
    </w:p>
    <w:p w14:paraId="116DC746"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contextul acestor consideraţii teoretice, Înalta Curte de Casaţie şi Justiţie notează că, ceea ce se reţine în concret, în sarcina recurentului inculpat A., sub aspectul infracțiunii prevăzute în art. 300 C. pen., este faptul că, la data de 14 noiembrie 2014, în calitate de primar al comunei G., fără a avea o astfel de atribuţie, a condus autovehiculul tip microbuz, aflat în proprietatea şcolii din localitate şi destinat transportului elevilor, pentru a asigura transportul preşedinţilor secţiilor de votare la aeroportul H., în vederea preluării materialelor electorale necesare pentru scrutinul care trebuia să aibă loc la data de 16 noiembrie 2014.</w:t>
      </w:r>
    </w:p>
    <w:p w14:paraId="3B82874C"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Fără a contesta această situaţie de fapt, recurentul inculpat critică subzistenţa elementelor de tipicitate obiectivă ale infracţiunii analizate, susţinând, sub un prim aspect, că, în condiţiile în care Legea nr. 370/2004 pentru alegerea Preşedinte</w:t>
      </w:r>
      <w:r w:rsidRPr="00250C7F">
        <w:rPr>
          <w:rFonts w:ascii="Times New Roman" w:eastAsia="Times New Roman" w:hAnsi="Times New Roman" w:cs="Times New Roman"/>
          <w:color w:val="333333"/>
          <w:sz w:val="24"/>
          <w:szCs w:val="24"/>
          <w:lang w:eastAsia="ro-RO"/>
        </w:rPr>
        <w:softHyphen/>
        <w:t>lui României (în forma în vigoare la data de 14 noiembrie 2014) stabilea în sarcina primarului atribuţia de distribuire a materialelor electorale, prin activitatea desfăşurată în speță, astfel cum a fost reţinută cu titlu definitiv prin decizia recurată, el nu şi-a depăşit atribuţiile de serviciu.</w:t>
      </w:r>
    </w:p>
    <w:p w14:paraId="198D314C"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Aceste susţineri sunt nepertinente, întrucât se fundamentează pe o greşită apreciere a obiectului concret al acuzaţiei formulate în speță.</w:t>
      </w:r>
    </w:p>
    <w:p w14:paraId="58A8FD69"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Recurentului inculpat nu i s-a imputat faptul distribuirii materialelor electorale, în urma preluării acestora, la data de referinţă, în condiţiile anterior descrise, ci aducerea la îndeplinire a acestei atribuţii, care îi incumba în virtutea dispoziţiilor art. 24 alin. (1) şi (2) şi art. 34 din Legea nr. 370/2004, prin conducerea, fără drept, a microbuzului destinat transportului elevilor aflat în proprietatea şcolii comunale, deși o atare atribuţie revenea martorului I.</w:t>
      </w:r>
    </w:p>
    <w:p w14:paraId="660E85F3"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plus, aceleaşi susţineri pornesc de la premisa greşită că infracţiunea analizată ar putea implica și uzurparea propriei funcţii a subiectului activ, interpretare exclusă chiar de conţinutul obiectiv al infracţiunii, care sancţionează actele îndeplinite de funcţionarul public în afara competenţelor corespunzătoare funcţiei deţinute.</w:t>
      </w:r>
    </w:p>
    <w:p w14:paraId="5635AF31"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al doilea rând, recurentul inculpat a susţinut că, în condiţiile în care fapta sa nu a constat în conducerea microbuzului şcolar în vederea transportării elevilor, atribuţie ce aparținea martorului I., nu se poate susţine că ar fi uzurpat funcţia acestuia din urmă, nefiind, prin urmare, îndeplinită condiţia de tipicitate obiectivă a infracţiunii analizate.</w:t>
      </w:r>
    </w:p>
    <w:p w14:paraId="648EC49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Susţinerile recurentului inculpat sub acest aspect sunt întemeiate.</w:t>
      </w:r>
    </w:p>
    <w:p w14:paraId="5417B961"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cauză, s-a stabilit cu titlu definitiv că autovehiculul tip microbuz, folosit de inculpat la data de 14 noiembrie 2014, se afla, la data critică, în proprietatea şcolii din localitatea G., fiind certificat să efectueze pentru unitatea şcolară deţinătoare transport rutier în cont propriu şi/sau de persoane în trafic naţional şi/sau internaţional.</w:t>
      </w:r>
    </w:p>
    <w:p w14:paraId="2D2F9BC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Persoana desemnată să conducă acest autovehicul era numitul I., angajat al Primăriei comunei G. în funcţia de „şofer microbuz şcolar”, care, potrivit fişei postului, avea ca atribuţii de serviciu conducerea vehiculului în scopul transportului de elevi.</w:t>
      </w:r>
    </w:p>
    <w:p w14:paraId="1676E29A"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lastRenderedPageBreak/>
        <w:t>Cum uzurparea funcţiei presupune exercitarea atribuțiilor de serviciu decurgând din aceasta de către o altă persoană decât deţinătorul respectivei funcţii, producându-se, astfel, rezultatul vătămător prevăzut în art. 297 C. pen., rezultă că, în speță, exercitarea de către inculpatul A. a atribuţiilor stabilite în sarcina martorului I. şi, prin aceasta, uzurparea funcţiei celui din urmă în condiţiile art. 300 C. pen., ar fi presupus conducerea, de către inculpat, a microbuzului şcolar în scopul transportului de elevi.</w:t>
      </w:r>
    </w:p>
    <w:p w14:paraId="69DFFD38"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Ceea ce individualiza, așadar, atribuțiile șoferului I. era nu simpla conducere a autovehiculului proprietatea școlii - activitate ce nu este rezervată, de altfel, funcționarilor publici - ci destinația obiectivă a acestei activități reglementate de lege, respectiv transportul elevilor în condițiile stabilite de conducerea unității de învățământ. Numai eventuala exercitare, de către inculpatul A., a atribuțiilor de serviciu astfel configurate s-ar fi putut circumscrie conținutului tipic obiectiv al infracțiunii prevăzute în art. 300 C. pen., în măsura în care s-ar fi produs, desigur, una din urmările alternativ prevăzute în art. 297 C. pen.</w:t>
      </w:r>
    </w:p>
    <w:p w14:paraId="51022DED"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Or, activitatea concret reţinută în sarcina inculpatului A. a constat, așa cum s-a arătat în precedent, în conducerea, fără drept, a microbuzului şcolar, în vederea transportării de materiale electorale, iar nu în scopul transportului de elevi.</w:t>
      </w:r>
    </w:p>
    <w:p w14:paraId="5BA8BC1B"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Manipularea fizică a vehiculului fără acordul reprezentanților unității școlare ori cu încălcarea normelor ce disciplinează conducerea autovehiculelor pe drumurile publice nu este de natură a plasa activitatea astfel desfășurată în sfera normei de incriminare prevăzute în art. 300 C. pen., ci a altor dispoziții de drept penal, care au făcut, de altfel, obiect de analiză în speță, fără a fi criticate ulterior în recurs în casație.</w:t>
      </w:r>
    </w:p>
    <w:p w14:paraId="73453DEF"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consecinţă, activitatea de conducere ilegală a autovehiculului, fără a se exercita însă, astfel, atribuţiile stabilite în sarcina şoferului microbuzului şcolar, în limitele şi specificul lor concret, nu se circumscrie conținutului tipic obiectiv al infracțiunii prevăzute în art. 300 C. pen., lipsind cerința îndeplinirii unui act ce nu intră în sfera atribuțiilor subiectului activ al infracțiunii.</w:t>
      </w:r>
    </w:p>
    <w:p w14:paraId="4265E9C4"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planul dreptului procesual, o atare constatare are ca efect lipsa de temei a acțiunii penale și incidența impedimentului prevăzut în art. 16 alin. (1) lit. b) teza I C. proc. pen.</w:t>
      </w:r>
    </w:p>
    <w:p w14:paraId="5AC5EC6D"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Pentru aceste considerente, admiţând recursul în casaţie formulat de inculpatul A., Înalta Curte de Casaţie şi Justiţie va dispune achitarea sa, în baza art. 396 alin. (5) raportat la art. 16 alin. (1) lit. b) teza I C. proc. pen., sub aspectul săvârșirii infracţiunii prevăzute în art. 300 C. pen.</w:t>
      </w:r>
    </w:p>
    <w:p w14:paraId="760C04D6"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i/>
          <w:iCs/>
          <w:color w:val="333333"/>
          <w:sz w:val="24"/>
          <w:szCs w:val="24"/>
          <w:lang w:eastAsia="ro-RO"/>
        </w:rPr>
        <w:t>2. Cu privire la infracțiunea de instigare la lipsire de libertate în mod ilegal:</w:t>
      </w:r>
    </w:p>
    <w:p w14:paraId="46226D85"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Starea de fapt valorificată prin decizia recurată cu privire la această infracţiune constă, în esență, în aceea că, la data de 28 iunie 2012, în jurul orelor 11.00, persoana vătămată Î. a mers la sediul Primăriei G., unde dorea ca, în calitate de preşedinte al Obştei Composesorat G., să depună nişte cereri.</w:t>
      </w:r>
    </w:p>
    <w:p w14:paraId="31D050D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sediul primăriei, persoana vătămată Î. s-a întâlnit cu inculpatul A., primar al comunei G., iar între cei doi a avut loc o discuţie contradictorie, în cadrul căreia şi-au adresat reciproc reproşuri, persoana vătămată adresându-i inculpatului ameninţări cu moartea.</w:t>
      </w:r>
    </w:p>
    <w:p w14:paraId="1FB96966"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După acest moment, persoana vătămată a intrat în biroul martorei J., care îndeplinea funcţia de referent agricol în cadrul Primăriei comunei G., pentru a înregistra cererile care determinaseră venirea sa la sediul primăriei. În timpul discuţiei cu martora J., persoana vătămată Î. a scos din geanta în care avea cererile aduse pentru înregistrare şi un capsator de hârtie pe care l-a arătat funcţionarelor din birou, întrebând dacă acel obiect se poate numi pistol.</w:t>
      </w:r>
    </w:p>
    <w:p w14:paraId="270D311E"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lastRenderedPageBreak/>
        <w:t>Persoana vătămată a stat în biroul martorei J. aproximativ 10 minute, timp în care s-a comportat civilizat, după care a părăsit sediul primăriei, deplasându-se la o farmacie din zonă.</w:t>
      </w:r>
    </w:p>
    <w:p w14:paraId="4022152E"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După aproximativ 30 minute, persoana vătămată a revenit la sediul primăriei şi s-a deplasat în biroul martorei J., de unde a ridicat cererile înregistrate.</w:t>
      </w:r>
    </w:p>
    <w:p w14:paraId="769351E9"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După ce a părăsit biroul martorei anterior menţionată, persoana vătămată a căzut pe scările de acces dintre parterul şi etajul 1 al clădirii, iar în momentul în care a ajuns la capătul scărilor, a fost înconjurată de inculpaţii B., C., D., E. şi F., care, la îndemnul inculpatului A., au lovit-o în mod repetat, după care au târât-o din holul primăriei (unde se afla şi sediul poliţiei) în clădirea ce se construia în spatele sediului primăriei.</w:t>
      </w:r>
    </w:p>
    <w:p w14:paraId="0CBA4D6F"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acest interval de timp, la ora 11.50, inculpatul A. a apelat numărul de urgenţă 112, susţinând că persoana vătămată îl ameninţă cu moartea având un pistol, telefon pe care l-a dat întrucât martora K., secretara comunei G., i-a spus că, dacă nu sună el la poliţie, o va face ea.</w:t>
      </w:r>
    </w:p>
    <w:p w14:paraId="6239637A"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clădirea aflată în construcţie, unde a fost dusă persoana vătămată, inculpaţii B., C., D., E. şi F. au continuat să o lovească pe aceasta cu pumnii şi picioarele, pe toată suprafaţa corpului.</w:t>
      </w:r>
    </w:p>
    <w:p w14:paraId="4EAA3C73"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După ce inculpatul A. a apelat la numărul 112, au fost anunţaţi lucrătorii de poliţie - martorii L., M. şi N. pentru a se deplasa la faţa locului şi a interveni la presupusul ultraj. Aceştia au sosit la faţa locului după aproximativ 10-15 minute şi, fiind îndrumaţi de cetăţenii care erau în zonă, au pătruns în clădirea aflată în construcţie din spatele sediului primăriei.</w:t>
      </w:r>
    </w:p>
    <w:p w14:paraId="73DDEEA7"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interiorul clădirii, cei trei lucrători de poliţie i-au găsit pe inculpaţii B., C., D., E. şi F. aflaţi în jurul persoanei vătămate, care se afla imobilizată la sol şi cu mâinile la spate, neavând posibilitatea de a se mişca după propria voinţă.</w:t>
      </w:r>
    </w:p>
    <w:p w14:paraId="2419659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Inculpaţii B., C., D., E. şi F. le-au spus organelor de poliţie că persoana vătămată avea asupra sa un pistol cu care l-a ameninţat pe primar, inculpatul A. şi le-au cerut să o deposedeze de armă.</w:t>
      </w:r>
    </w:p>
    <w:p w14:paraId="7D5A50E7"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timp ce lucrătorii de poliţie o încătuşau pe persoana vătămată, pentru a o scoate din clădire, inculpaţii B. şi C. au lovit-o pe aceasta cu picioarele în zona toracelui şi a capului.</w:t>
      </w:r>
    </w:p>
    <w:p w14:paraId="0CDE96F9"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După ce martorii L., M. şi N. au dus persoana vătămată în sediul poliţiei, au descătuşat-o şi au efectuat un control corporal asupra acesteia, în urma căruia au constatat că nu avea nicio armă asupra sa. Pentru că aceasta acuza dureri şi susţinea că a fost lovită de inculpaţi, martorii au chemat ambulanţa.</w:t>
      </w:r>
    </w:p>
    <w:p w14:paraId="5252750B"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Invocând incidența motivului de recurs în casație prevăzut în art. 438 alin. (1) pct. 7 C. proc. pen., inculpatul A. a susținut că fapta astfel descrisă nu corespunde tiparului obiectiv al infracţiunii de instigare la lipsire de libertate în mod ilegal, întrucât nu este îndeplinită condiţia privind caracterul nelegal al privării de libertate a persoanei vătămate Î. şi, pe cale de consecinţă, nici al instigării la aceasta.</w:t>
      </w:r>
    </w:p>
    <w:p w14:paraId="406115BE"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acest sens, a arătat că, fiind determinată de săvârşirea, de către Î., a infracţiunii de ultraj împotriva sa, privarea de libertate a persoanei vătămate nu a avut caracter ilegal, ea având ca scop pre</w:t>
      </w:r>
      <w:r w:rsidRPr="00250C7F">
        <w:rPr>
          <w:rFonts w:ascii="Times New Roman" w:eastAsia="Times New Roman" w:hAnsi="Times New Roman" w:cs="Times New Roman"/>
          <w:color w:val="333333"/>
          <w:sz w:val="24"/>
          <w:szCs w:val="24"/>
          <w:lang w:eastAsia="ro-RO"/>
        </w:rPr>
        <w:softHyphen/>
        <w:t>darea ultragiatorului către organele de poliţie.</w:t>
      </w:r>
    </w:p>
    <w:p w14:paraId="678BDF54"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 mai arătat că, deși privarea de libertate a persoanei vătămate nu a survenit la momentul săvârşirii infracţiunii de ultraj, ci la aproximativ 30 de minute de la acest moment, aceasta are caracter legal, întrucât, raportat la datele particulare ale cauzei, intervalul de timp anterior menţionat se încadrează în noţiunea de „imediat după săvârşire” prevăzută în art. 293 alin. (1) şi (2) C. proc. pen., care justifică, în condiţiile art. 310 C. proc. pen., luarea unei astfel de măsuri, atât în cazul infracţiunii flagrante, cât şi a celei cvasi-flagrante.</w:t>
      </w:r>
    </w:p>
    <w:p w14:paraId="7C039A64"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lastRenderedPageBreak/>
        <w:t>Critica recurentului inculpat este nefondată.</w:t>
      </w:r>
    </w:p>
    <w:p w14:paraId="3146D85A"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Cerinţa esenţială ataşată elementului material al infracţiunii prevăzute în art. 205 alin. (1) C. pen. vizează caracterul ilegal al lipsirii de libertate, care presupune ca restrângerea libertăţii să nu fie îngăduită sau cerută de lege.</w:t>
      </w:r>
    </w:p>
    <w:p w14:paraId="05E6CF7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Una dintre situaţiile care legitimează privarea de libertate a persoanei este cea prevăzută în art. 310 C. proc. pen., referitoare la dreptul oricărei persoane de a prinde făptuitorul în cazul săvârşirii unei infracţiuni flagrante. În această ipoteză, deși prin prinderea făptuitorului se realizează, în fapt, privarea sa de libertate de către o terță persoană, iar nu de către organele judiciare îndreptățite, cel care îl prinde pe făptuitor nu va fi tras la răspundere penală pentru infracțiunea de lipsire de libertate în mod ilegal, cu condiția să îl predea de îndată organelor de urmărire penală.</w:t>
      </w:r>
    </w:p>
    <w:p w14:paraId="02B0ADE5"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Art. 293 alin. (1) C. proc. pen. defineşte infracţiunea flagrantă tipică (propriu-zisă), ca fiind infracţiunea descoperită în momentul săvârșirii sau imediat după săvârșire.</w:t>
      </w:r>
    </w:p>
    <w:p w14:paraId="4F0BD221"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Descoperirea infracțiunii în momentul săvârșirii înseamnă prinderea făptuitorului în timpul și la locul săvârșirii faptei. Noțiunea imediat după săvârșire se referă la un moment de timp cât mai apropiat de cel al săvârșirii infracţiunii.</w:t>
      </w:r>
    </w:p>
    <w:p w14:paraId="13890EB7"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Alin. (2) al aceluiaşi text de lege defineşte infracţiunea cvasi-flagrantă sau flagrantă prin asimilare ca fiind infracțiunea al cărei făptuitor, imediat după săvârșire, este urmărit de organele de ordine publică și de siguranță națională, de persoana vătămată, de martorii oculari sau de strigătul public ori prezintă urme care justifică suspiciunea rezonabilă că ar fi săvârșit infracțiunea sau este surprins aproape de locul comiterii infracțiunii cu arme, instrumente sau orice alte obiecte de natură a-l presupune participant la infracțiune.</w:t>
      </w:r>
    </w:p>
    <w:p w14:paraId="0C063AFB"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aceste coordonate, evaluând susţinerile recurentului inculpat, Înalta Curte de Casaţie şi Justiţie subliniază că, într-adevăr, privarea de libertate a făptuitorului are caracter legal, în condiţiile art. 310 C. proc. pen., şi în cazul în care ea intervine „imediat după săvârşirea” infracţiunii, conform art. 293 alin. (1) teza finală C. proc. pen. sau în ipoteza asimilată prevăzută în art. 293 alin. (2) C. proc. pen.</w:t>
      </w:r>
    </w:p>
    <w:p w14:paraId="6611610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Legea nu defineşte, însă, noţiunea „imediat după săvârşirea” faptei, astfel că stabilirea momentului până la care, după consumare, infracţiunea îşi păstrează caracterul flagrant, în condiţiile prevăzute în art. 293 alin. (1) teza finală C. proc. pen. sau art. 293 alin. (2) C. proc. pen., se face de către organele judiciare, în raport de datele concrete ale speţei.</w:t>
      </w:r>
    </w:p>
    <w:p w14:paraId="43C381E9"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acest context, pornind de la definiţia dată de Dicţionarul explicativ al limbii române termenului „imediat” - „care se produce fără întârziere, nemijlocit”, Înalta Curte de Casaţie şi Justiţie reţine că noţiunea supusă analizei se raportează la momentul nemijlocit al comiterii faptei și vizează intervalul de timp proxim săvârşirii acesteia, necesar exclusiv prinderii făptuitorului - în cazul prevăzut în art. 293 alin. (1) teza finală C. proc. pen. - respectiv, urmăririi făptuitorului de organele de ordine publică și de siguranță națională, de persoana vătămată etc., constatării că acesta prezintă urme care justifică suspiciunea rezonabilă că ar fi săvârșit infracțiunea sau surprinderii sale aproape de locul comiterii infracțiunii cu arme, instrumente sau orice alte obiecte de natură a-l presupune participant la infracțiune, în cazul prevăzut în art. 293 alin. (2) C. proc. pen.</w:t>
      </w:r>
    </w:p>
    <w:p w14:paraId="3E5BAEF9"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 xml:space="preserve">Noţiunea „imediat după săvârşirea faptei” presupune, prin urmare, o desfăşurare neîntreruptă în timp între momentul săvârşirii acțiunii ilicite şi momentul prinderii făptuitorului, </w:t>
      </w:r>
      <w:r w:rsidRPr="00250C7F">
        <w:rPr>
          <w:rFonts w:ascii="Times New Roman" w:eastAsia="Times New Roman" w:hAnsi="Times New Roman" w:cs="Times New Roman"/>
          <w:color w:val="333333"/>
          <w:sz w:val="24"/>
          <w:szCs w:val="24"/>
          <w:lang w:eastAsia="ro-RO"/>
        </w:rPr>
        <w:lastRenderedPageBreak/>
        <w:t>care exclude posibilitatea interpunerii, între cele două repere temporale, a oricăror acte sau fapte străine acestora.</w:t>
      </w:r>
    </w:p>
    <w:p w14:paraId="5E544C7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Raportat la aceste aspecte de principiu, Înalta Curte de Casaţie şi Justiţie notează că, în speţă, recurentul inculpat A. a susţinut că privarea de libertate a persoanei vătămate Î. la aproximativ 30 de minute după săvârşirea infracţiunii de ultraj era justificată în condiţiile art. 310 C. proc. pen., întrucât ar fi survenit „imediat după comiterea” ultrajului, făcând, astfel, incidente dispoziţiile art. 293 alin. (1) teza finală C. proc. pen. sau art. 293 alin. (2) C. proc. pen.</w:t>
      </w:r>
    </w:p>
    <w:p w14:paraId="6305578D"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Contrar acestor susțineri, datele factuale ale cauzei, stabilite cu titlu definitiv prin decizia recurată, relevă că, ulterior săvârşirii infracţiunii de ultraj, persoana vătămată Î. a desfăşurat, în mod neîngrădit, diverse activităţi (depunerea de cereri) în sediul instituţiei în care a săvârşit fapta, dar şi în afara acestuia, pentru o durată de circa 30 de minute, lipsirea sa de libertate intervenind abia după ce, revenită în sediul primăriei, a ridicat cererile anterior depuse.</w:t>
      </w:r>
    </w:p>
    <w:p w14:paraId="5EFCA785"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S-a reținut, de asemenea, în mod definitiv, că privarea de libertate a persoanei vătămate la 30 de minute de la momentul săvârşirii faptei de ultraj a intervenit spontan, nefiind rezultatul urmăririi victimei (după comiterea ultrajului) de către recurentul inculpat ori ceilalţi angajaţi ai primăriei, în vederea prezentării sale organelor de anchetă. Anunţarea organelor de cercetare penală cu privire la săvârşirea, de către Î., a faptei menționate, a fost făcută de recurentul inculpat abia după privarea acestuia de libertate.</w:t>
      </w:r>
    </w:p>
    <w:p w14:paraId="1DB3775B"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contextul acestor rețineri factuale ce nu pot fi cenzurate în recurs în casație, Înalta Curte de Casaţie şi Justiţie constată că privarea de libertate a persoanei vătămate Î., în condiţiile anterior descrise, a avut caracter ilegal, deoarece nu s-a realizat în condiţiile stării de flagranţă propriu-zisă, prevăzută în art. 293 alin. (1) teza finală C. proc. pen., de vreme ce între săvârşirea faptei de ultraj şi cea a lipsirii de libertate a persoanei vătămate s-a interpus un interval de aproximativ 30 de minute, în care victima a desfăşurat, nestingherită, diverse activităţi în cadrul primăriei şi în afara acesteia.</w:t>
      </w:r>
    </w:p>
    <w:p w14:paraId="08F68FF7"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Or, nefiind destinat prinderii persoanei vătămate Î., intervalul de 30 de minute scurs între momentul săvârşirii ultrajului și cel în care s-a produs lipsirea sa de libertate nu se circumscrie noţiunii de „imediat după comitere”, care caracterizează infracţiunea flagrantă tipică.</w:t>
      </w:r>
    </w:p>
    <w:p w14:paraId="75FDA927"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Deopotrivă, privarea de libertate a persoanei vătămate Î., în condiţiile arătate, nu se circumscrie nici stării de cvasi-flagranţă prevăzută în art. 293 alin. (2) C. proc. pen., întrucât, imediat după săvârşirea ultrajului, aceasta nu a fost urmărită de organele de anchetă, lucru, de altfel, imposibil, în condiţiile în care sesizarea poliţiei s-a făcut abia după lipsirea sa de libertate. În plus, aşa cum s-a arătat anterior, persoana vătămată nu a fost urmărită nici de recurentul inculpat (victima ultrajului) sau de ceilalţi angajaţi ai primăriei şi nici nu s-a aflat în vreuna din celelalte ipoteze prevăzute de norma procesual penală menționată.</w:t>
      </w:r>
    </w:p>
    <w:p w14:paraId="1F4F46BD"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Revenirea persoanei vătămate, la sediul primăriei, după un interval de 30 de minute de la ameninţarea adresată recurentului, în scopul exclusiv al ridicării cererilor înregistrate anterior, în cursul aceleiaşi zile, nu se circumscrie ipotezei surprinderii ei, aproape de locul comiterii infracțiunii, cu arme, instrumente sau orice alte obiecte de natură a o presupune participant la infracțiune, prevăzută în teza finală a art. 293 alin. (2) C. proc. pen., subzistenţa acestei ipoteze fiind condiţionată, implicit, şi de proximitatea momentului surprinderii de cel al săvârşirii faptei, exigenţă neîndeplinită în cauză.</w:t>
      </w:r>
    </w:p>
    <w:p w14:paraId="3F598705"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 xml:space="preserve">În consecinţă, în raport cu argumentele prezentate, Înalta Curte de Casaţie şi Justiţie conchide că lipsirea de libertate a persoanei vătămate Î. a avut caracter ilegal, deoarece nu s-a </w:t>
      </w:r>
      <w:r w:rsidRPr="00250C7F">
        <w:rPr>
          <w:rFonts w:ascii="Times New Roman" w:eastAsia="Times New Roman" w:hAnsi="Times New Roman" w:cs="Times New Roman"/>
          <w:color w:val="333333"/>
          <w:sz w:val="24"/>
          <w:szCs w:val="24"/>
          <w:lang w:eastAsia="ro-RO"/>
        </w:rPr>
        <w:lastRenderedPageBreak/>
        <w:t>realizat în condiţiile stării de flagranţă prevăzută în art. 293 alin. (1) teza finală sau de cvasi-flagranţă prevăzută în art. 293 alin. (2) C. proc. pen. Pe cale de consecință, fapta reținută în sarcina recurentului sub forma de participație a instigării realizează toate cerințele de conținut obiectiv prevăzute de lege, criticile formulate sub acest aspect fiind nefondate.</w:t>
      </w:r>
    </w:p>
    <w:p w14:paraId="689D93CB"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i/>
          <w:iCs/>
          <w:color w:val="333333"/>
          <w:sz w:val="24"/>
          <w:szCs w:val="24"/>
          <w:lang w:eastAsia="ro-RO"/>
        </w:rPr>
        <w:t>3. Cu privire la infracțiunea de instigare la lovire sau alte violenţe:</w:t>
      </w:r>
    </w:p>
    <w:p w14:paraId="003BCFCE"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Invocând incidența motivului de recurs în casație prevăzut în art. 438 alin. (1) pct. 7 C. proc. pen., inculpatul A. a susținut că fapta concretă reţinută în sarcina sa prin decizia recurată, astfel cum a fost descrisă în paragraful destinat analizei în drept a infracţiunii de instigare la lovire sau alte violenţe, nu îndeplineşte elementele de tipicitate prevăzute de lege, întrucât, pe de o parte, constă într-o inacţiune, care nu poate constitui o formă de instigare, iar pe de altă parte, se circumscrie unei instigări implicite la lovirile şi violențele inerente lipsirii de libertate a persoanei vătămate şi care, prin urmare, sunt absorbite în conținutul infracţiunii prevăzute în art. 205 alin. (1) C. pen.</w:t>
      </w:r>
    </w:p>
    <w:p w14:paraId="119FCB6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Criticile recurentului inculpat sunt neîntemeiate.</w:t>
      </w:r>
    </w:p>
    <w:p w14:paraId="3A4A3543"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Starea de fapt valorificată prin decizia recurată cu privire la această infracţiune, comună celei reținute cu privire la instigare la lipsire de libertate în mod ilegal, este cea redată detaliat anterior, la pct. 2 din prezentele considerente.</w:t>
      </w:r>
    </w:p>
    <w:p w14:paraId="4BEA183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Datele factuale reţinute de instanţa de apel sub aspectul infracţiunii de referinţă vizează lovirea persoanei vătămate, în mod repetat, de către inculpaţii B., C., D., E. şi F., la îndemnul inculpatului A., imediat după ce aceasta a căzut pe scările primăriei (la revenirea ei în sediul instituţiei), urmată de agresiunile suferite de Î. după imobilizarea şi îndepărtarea sa prin târâre din holul primăriei (unde se afla şi sediul poliţiei) în clădirea ce se construia în spatele sediului primăriei şi până la prezentarea organelor de poliție.</w:t>
      </w:r>
    </w:p>
    <w:p w14:paraId="6EAF25CE"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Fără a contesta, în mod expres, existența unei atare configurări factuale a infracţiunii analizate şi raportându-se strict la argumentele expuse în decizia recurată în paragrafele rezervate analizei în drept a infracţiunii, recurentul inculpat A. a susţinut că acestea conduc la concluzia condamnării sale exclusiv pentru atitudinea pasivă adoptată faţă de suferinţele persoanei vătămate pe durata privării sale de libertate, instanţa de apel apreciind că, prin instigarea celorlalţi inculpaţi la săvârşirea infracţiunii de lipsire de libertate în mod ilegal, ar fi instigat, implicit, şi la săvârşirea infracţiunii de lovire sau  alte violenţe.</w:t>
      </w:r>
    </w:p>
    <w:p w14:paraId="504A4267"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Înalta Curte de Casaţie şi Justiţie constată că o atare poziție a recurentului reflectă valorificarea limitată și selectivă a considerentelor deciziei nr. 303 din 10 martie 2020 pronunțată de Curtea de Apel Suceava, Secţia penală şi pentru cauze cu minori, prin accentuarea numai a chestiunilor factuale sintetic reţinute, la analiza în drept a faptei, cu ignorarea totală a ansamblului argumentelor factuale pe care s-a sprijinit, în substanță, hotărârea instanței de apel.</w:t>
      </w:r>
    </w:p>
    <w:p w14:paraId="4BE238EB"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Relevante, în acest sens, sunt atât aspectele detaliate în decizia penală recurată, redate la pct. 2 al prezentei hotărâri, în care instanţa de apel a prezentat situaţia de fapt stabilită cu titlu definitiv, cât şi cele expuse în aceeaşi hotărâre, în care a fost evaluat materialul probator ce susţine situaţia de fapt şi argumentele pentru care soluția de achitare dispusă de prima instanţă este greşită, iar apărările inculpaţilor - nesusținute. O atare argumentație relevă neechivoc concordanța dintre acuzația concretă adusă inculpatului și tiparul legal al incriminării prevăzute în art. 47 C. pen. raportat la art. 193 alin. (1) C. pen.</w:t>
      </w:r>
    </w:p>
    <w:p w14:paraId="40AE5E7F"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 xml:space="preserve">În acest context, descrierea în drept a infracţiunii analizate (respectiv, acţiunea inculpatului A. de a-i determina pe coinculpații B., C., D., E. şi F. să-l lipsească de libertate pe Î., pentru un </w:t>
      </w:r>
      <w:r w:rsidRPr="00250C7F">
        <w:rPr>
          <w:rFonts w:ascii="Times New Roman" w:eastAsia="Times New Roman" w:hAnsi="Times New Roman" w:cs="Times New Roman"/>
          <w:color w:val="333333"/>
          <w:sz w:val="24"/>
          <w:szCs w:val="24"/>
          <w:lang w:eastAsia="ro-RO"/>
        </w:rPr>
        <w:lastRenderedPageBreak/>
        <w:t>interval de timp de circa 20-25 de minute, timp în care acesta din urmă a fost agresat şi a suferit leziuni) şi aspectele reţinute în analiza laturii subiective a infracţiunii, ce nu pot fi cenzurate în această procedură (în sensul că inculpatul a săvârşit fapta cu intenţia indirectă prevăzută în art. 16 alin. 3 lit. b C. pen., întrucât, în momentul în care i-a determinat pe coinculpaţi să îl lipsească de libertate pe Î., a prevăzut că această acţiune concertată a celor cinci era de natură să producă victimei suferinţe fizice, însă i-a fost indiferent rezultatul), nu afectează în substanță caracterul coeziv al expunerii de ansamblu a elementelor factuale de conținut esențiale pentru acuzația de instigare la lovire sau alte violenţe adusă acestuia.</w:t>
      </w:r>
    </w:p>
    <w:p w14:paraId="7C6C00C7"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Fiind singulare în economia motivării deciziei recurate, aceste mențiuni nu pot fi valorificate, în recurs în casație, prioritar și independent de cadrul factual complet ce a constituit în mod real obiectul judecății, deoarece un atare demers ar avea semnificația cenzurării legalității hotărârii definitive prin raportare la împrejurări factuale restrânse în mod arbitrar și, astfel, diferite, în substanță, de cele reținute cu autoritate de lucru judecat.</w:t>
      </w:r>
    </w:p>
    <w:p w14:paraId="5666DFE8"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Din această perspectivă, susținerile recurentului A. vizând condamnarea sa nelegală pentru instigare implicită la lovire sau alte violenţe reflectă valorificarea speculativă în apărare a acelorași mențiuni singulare regăsite în decizia instanței de apel.</w:t>
      </w:r>
    </w:p>
    <w:p w14:paraId="43A8ACCF"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Or, în evaluarea legalității hotărârii definitive, instanța de casație nu se poate limita la a reține selectiv anumite elemente factuale vizând conținutul concret al infracțiunilor pentru care s-a dispus condamnarea unei persoane, după cum ea nu se poate deroba de sarcina identificării cât mai precise a conținutului faptelor real reținute prin decizia definitivă, chiar și atunci când multitudinea elementelor ce caracterizează aceste fapte par a spori dificultatea unui atare proces. Demersul instanței de casație este, însă, în mod inerent, limitat de însuși scopul căii extraordinare de atac prevăzute în art. 433 și urm. C. proc. pen. și de cazurile (preponderent de drept substanțial) în care ea poate fi exercitată.</w:t>
      </w:r>
    </w:p>
    <w:p w14:paraId="38FA5FC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Prin urmare, evaluarea instanței supreme nu ar putea fi extinsă la chestiuni care excedează acestor cazuri și care antamează, în realitate, exclusiv chestiuni de apreciere în fapt a datelor factuale proprii cauzei.</w:t>
      </w:r>
    </w:p>
    <w:p w14:paraId="78387827"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aceste coordonate de principiu, Înalta Curte de Casație și Justiție constată caracterul nefondat al susținerilor inculpatului A., reţinând că fapta imputată acestuia s-a concretizat, în principal, într-o acțiune, respectiv, în îndemnul adresat coinculpaţilor-coautori de a o lovi pe persoana vătămată Î., după ce aceasta din urmă căzuse pe scările de acces dintre parterul şi etajul 1 al clădirii primăriei, îndemn factual reținut explicit prin decizia recurată și valorificat ulterior în drept.</w:t>
      </w:r>
    </w:p>
    <w:p w14:paraId="296678D7"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Instanţa de apel a stabilit, cu titlu definitiv, că acelaşi îndemn a constituit, în împrejurările descrise, şi elementul declanşator al privării de libertate a persoanei vătămate de către coinculpaţi, proces pe durata căruia ei au continuat să agreseze victima, acţiunea violentă încetând imediat după prezentarea organelor de poliţie.</w:t>
      </w:r>
    </w:p>
    <w:p w14:paraId="5B368F9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Datele factuale ale cauzei relevă, prin urmare, în mod neechivoc, că atât actele de violenţă, cât şi cele de privare de libertate exercitate de coinculpaţi asupra persoanei vătămate Î., la data de 28 iunie 2012, în intervalul orar 11.40 - 12.00/12.05, au fost determinate de îndemnul recurentului A., context în care concluziile instanţei de apel, vizând indiferenţa manifestată de acesta din urmă la strigătele de durere ale persoanei vătămate pe durata privării de libertate, nu pot primi semnificația atribuită în motivele scrise de recurs în casație, respectiv, aceea a condamnării sale doar pentru atitudinea pasivă anterior descrisă.</w:t>
      </w:r>
    </w:p>
    <w:p w14:paraId="572EA81C"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lastRenderedPageBreak/>
        <w:t>În acest ultim sens, Înalta Curte de Casaţie şi Justiţie face trimitere la considerentele expuse în precedent și subliniază că verificarea legalității hotărârii definitive în procedura recursului în casație implică identificarea conținutului factual concret și complet al infracțiunilor pentru care s-a dispus o soluție definitivă și, raportat la acesta, a incidenței unor eventuale motive de casare. Or, în raport de acuzația penală efectiv adusă inculpatului, decizia recurată reflectă și clarifică împrejurările faptice imputate acestuia.</w:t>
      </w:r>
    </w:p>
    <w:p w14:paraId="33F40C5F"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mod asemănător, hotărârea instanței de apel relevă neechivoc actele de agresiune exercitate de coinculpaţi, la îndemnul recurentului inculpat A., asupra persoanei vătămate, la momentul lipsirii sale de libertate, care au continuat pe toată durata acesteia, până la prezentarea organelor de poliţie, dar şi urmările acestora, plasându-le astfel, în mod obiectiv, în afara celor inerente privării ilegale de libertate.</w:t>
      </w:r>
    </w:p>
    <w:p w14:paraId="348B55F4"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Rezultă, astfel, că activitatea infracţională derulată de coinculpaţi la data de 28 iunie 2012, la îndemnul recurentului A., s-a concretizat nu doar în lipsirea persoanei vătămate Î. de libertate de mişcare pe o durată de aproximativ 25 de minute, dar și în exercitarea unor acte de violență fizică ce excedau naturii și intensității violențelor inerente privării sale de libertate, acte care se circumscriu conținutului obiectiv al infracțiunii distincte prevăzute în art. 193 alin. (1) C. pen.</w:t>
      </w:r>
    </w:p>
    <w:p w14:paraId="606D4961"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consecinţă, în cauză este nesusținută aserțiunea inculpatului A. în recurs în casaţie, vizând absorbirea actelor de violenţă la care a fost supusă victima Î. în conţinutul obiectiv al infracţiunii de lipsire de libertate în mod ilegal, reţinerea celor două infracţiuni în concurs real corespunzând unei corecte aplicări a legii.</w:t>
      </w:r>
    </w:p>
    <w:p w14:paraId="5BA502FA"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Pentru considerentele expuse, constatând întemeiate numai criticile recurentului inculpat cu privire la infracţiunea de uzurpare a funcţiei, Înalta Curte de Casaţie şi Justiţie, în temeiul dispoziţiilor art. 448 alin. (1) pct. 2 lit. a) C. proc. pen., a admis recursul în casație formulat de inculpatul A. împotriva deciziei nr. 303 din 10 martie 2020 pronunțată de Curtea de Apel Suceava, Secția penală şi pentru cauze cu minori.</w:t>
      </w:r>
    </w:p>
    <w:p w14:paraId="64700A82"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 casat, în parte, decizia atacată şi, rejudecând:</w:t>
      </w:r>
    </w:p>
    <w:p w14:paraId="39500753"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 descontopit pedeapsa principală rezultantă de 3 ani şi 4 luni închisoare şi 5.000 lei amendă penală aplicată recurentului inculpat, în pedepsele componente, pe care le-a repus în individualitatea lor.</w:t>
      </w:r>
    </w:p>
    <w:p w14:paraId="4E35DCC9"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baza art. 396 alin. (5) raportat la art. 16 alin. (1) lit. b) teza I C. proc. pen., a achitat pe inculpatul A. sub aspectul săvârșirii infracţiunii de uzurpare a funcţiei, prevăzută în art. 300 C. pen.</w:t>
      </w:r>
    </w:p>
    <w:p w14:paraId="0363D880"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În baza art. 38 alin. (1) şi art. 39 alin. (1) lit. e) C. pen., a aplicat inculpatului pedeapsa cea mai grea, de 2 ani şi 6 luni închisoare, la care se adăugă un spor de 2 luni închisoare, reprezentând o treime din pedeapsa de 6 luni închisoare, precum şi pedeapsa amenzii de 5.000 lei calculată potrivit art. 39 alin. (1) lit. c) C. pen., urmând ca, în final, inculpatul să execute pedeapsa rezultantă de 2 ani şi 8 luni închisoare şi 5.000 lei amendă penală.</w:t>
      </w:r>
    </w:p>
    <w:p w14:paraId="287552EF" w14:textId="77777777" w:rsidR="00875B1F" w:rsidRPr="00250C7F" w:rsidRDefault="00875B1F" w:rsidP="000F2C11">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 menţinut celelalte dispoziții ale deciziei recurate, care nu contravin prezentei.</w:t>
      </w:r>
    </w:p>
    <w:p w14:paraId="1CFBB768" w14:textId="2A64F462" w:rsidR="00CB3E33" w:rsidRPr="00250C7F" w:rsidRDefault="00875B1F" w:rsidP="003D5FDA">
      <w:pPr>
        <w:spacing w:after="0" w:line="276" w:lineRule="auto"/>
        <w:ind w:firstLine="708"/>
        <w:jc w:val="both"/>
        <w:rPr>
          <w:rFonts w:ascii="Times New Roman" w:eastAsia="Times New Roman" w:hAnsi="Times New Roman" w:cs="Times New Roman"/>
          <w:color w:val="333333"/>
          <w:sz w:val="24"/>
          <w:szCs w:val="24"/>
          <w:lang w:eastAsia="ro-RO"/>
        </w:rPr>
      </w:pPr>
      <w:r w:rsidRPr="00250C7F">
        <w:rPr>
          <w:rFonts w:ascii="Times New Roman" w:eastAsia="Times New Roman" w:hAnsi="Times New Roman" w:cs="Times New Roman"/>
          <w:color w:val="333333"/>
          <w:sz w:val="24"/>
          <w:szCs w:val="24"/>
          <w:lang w:eastAsia="ro-RO"/>
        </w:rPr>
        <w:t>A dispus anularea mandatului de executare a pedepsei închisorii din 10 martie 2020 emis de Judecătoria Rădăuţi în baza sentinței penale nr. 233 din 27 martie 2019 a aceleiaşi instanţe şi emiterea unui nou mandat de executare a pedepsei închisorii potrivit di</w:t>
      </w:r>
      <w:r w:rsidR="003D5FDA" w:rsidRPr="00250C7F">
        <w:rPr>
          <w:rFonts w:ascii="Times New Roman" w:eastAsia="Times New Roman" w:hAnsi="Times New Roman" w:cs="Times New Roman"/>
          <w:color w:val="333333"/>
          <w:sz w:val="24"/>
          <w:szCs w:val="24"/>
          <w:lang w:eastAsia="ro-RO"/>
        </w:rPr>
        <w:t>spozițiilor prezentei decizii. </w:t>
      </w:r>
    </w:p>
    <w:p w14:paraId="7E0026FE" w14:textId="77777777" w:rsidR="003D5FDA" w:rsidRPr="00250C7F" w:rsidRDefault="003D5FDA" w:rsidP="003D5FDA">
      <w:pPr>
        <w:spacing w:after="0" w:line="276" w:lineRule="auto"/>
        <w:ind w:firstLine="708"/>
        <w:jc w:val="both"/>
        <w:rPr>
          <w:rFonts w:ascii="Times New Roman" w:eastAsia="Times New Roman" w:hAnsi="Times New Roman" w:cs="Times New Roman"/>
          <w:color w:val="333333"/>
          <w:sz w:val="24"/>
          <w:szCs w:val="24"/>
          <w:lang w:eastAsia="ro-RO"/>
        </w:rPr>
      </w:pPr>
    </w:p>
    <w:p w14:paraId="20F24686" w14:textId="6EADCF6F" w:rsidR="004A57BB" w:rsidRPr="00250C7F" w:rsidRDefault="004A57BB" w:rsidP="00891584">
      <w:pPr>
        <w:pStyle w:val="Heading1"/>
        <w:spacing w:line="276" w:lineRule="auto"/>
        <w:rPr>
          <w:sz w:val="24"/>
          <w:szCs w:val="24"/>
          <w:lang w:val="ro-RO"/>
        </w:rPr>
      </w:pPr>
      <w:bookmarkStart w:id="39" w:name="_Toc84584822"/>
      <w:r w:rsidRPr="00250C7F">
        <w:rPr>
          <w:sz w:val="24"/>
          <w:szCs w:val="24"/>
          <w:lang w:val="ro-RO"/>
        </w:rPr>
        <w:lastRenderedPageBreak/>
        <w:t>DREPT PROCESUAL CIVIL</w:t>
      </w:r>
      <w:bookmarkEnd w:id="39"/>
    </w:p>
    <w:p w14:paraId="0988533B" w14:textId="77777777" w:rsidR="00DE64E3" w:rsidRPr="00250C7F" w:rsidRDefault="00DE64E3" w:rsidP="00891584">
      <w:pPr>
        <w:spacing w:line="276" w:lineRule="auto"/>
        <w:rPr>
          <w:lang w:eastAsia="ro-RO"/>
        </w:rPr>
      </w:pPr>
    </w:p>
    <w:p w14:paraId="020C180A" w14:textId="1DB7BD2C" w:rsidR="000303CA" w:rsidRPr="00250C7F" w:rsidRDefault="00DE64E3" w:rsidP="000303CA">
      <w:pPr>
        <w:pStyle w:val="Heading2"/>
        <w:spacing w:line="276" w:lineRule="auto"/>
        <w:jc w:val="center"/>
        <w:rPr>
          <w:rFonts w:ascii="Times New Roman" w:hAnsi="Times New Roman" w:cs="Times New Roman"/>
          <w:b/>
          <w:bCs/>
          <w:i/>
          <w:color w:val="auto"/>
          <w:sz w:val="24"/>
          <w:szCs w:val="24"/>
        </w:rPr>
      </w:pPr>
      <w:bookmarkStart w:id="40" w:name="_Toc84584823"/>
      <w:r w:rsidRPr="00250C7F">
        <w:rPr>
          <w:rFonts w:ascii="Times New Roman" w:hAnsi="Times New Roman" w:cs="Times New Roman"/>
          <w:b/>
          <w:bCs/>
          <w:i/>
          <w:color w:val="auto"/>
          <w:sz w:val="24"/>
          <w:szCs w:val="24"/>
        </w:rPr>
        <w:t xml:space="preserve">I. </w:t>
      </w:r>
      <w:r w:rsidR="00D45366" w:rsidRPr="00250C7F">
        <w:rPr>
          <w:rFonts w:ascii="Times New Roman" w:hAnsi="Times New Roman" w:cs="Times New Roman"/>
          <w:b/>
          <w:bCs/>
          <w:i/>
          <w:color w:val="auto"/>
          <w:sz w:val="24"/>
          <w:szCs w:val="24"/>
        </w:rPr>
        <w:t>Competenţa instanţelor judecătoreşti</w:t>
      </w:r>
      <w:bookmarkEnd w:id="40"/>
    </w:p>
    <w:p w14:paraId="345317DC" w14:textId="77777777" w:rsidR="0052574D" w:rsidRPr="00250C7F" w:rsidRDefault="0052574D" w:rsidP="00891584">
      <w:pPr>
        <w:spacing w:after="0" w:line="276" w:lineRule="auto"/>
        <w:rPr>
          <w:rFonts w:ascii="Times New Roman" w:eastAsia="Times New Roman" w:hAnsi="Times New Roman" w:cs="Times New Roman"/>
          <w:sz w:val="24"/>
          <w:szCs w:val="24"/>
          <w:highlight w:val="yellow"/>
          <w:lang w:eastAsia="ro-RO"/>
        </w:rPr>
      </w:pPr>
    </w:p>
    <w:p w14:paraId="5B190886" w14:textId="5E682C58" w:rsidR="00DE64E3" w:rsidRPr="00250C7F" w:rsidRDefault="0052574D" w:rsidP="003D5FDA">
      <w:pPr>
        <w:pStyle w:val="Heading3"/>
        <w:spacing w:before="0" w:line="276" w:lineRule="auto"/>
        <w:jc w:val="both"/>
        <w:rPr>
          <w:rFonts w:ascii="Times New Roman" w:eastAsia="Times New Roman" w:hAnsi="Times New Roman" w:cs="Times New Roman"/>
          <w:b/>
          <w:color w:val="auto"/>
          <w:highlight w:val="yellow"/>
          <w:lang w:eastAsia="ro-RO"/>
        </w:rPr>
      </w:pPr>
      <w:bookmarkStart w:id="41" w:name="_Toc84584824"/>
      <w:r w:rsidRPr="00250C7F">
        <w:rPr>
          <w:rFonts w:ascii="Times New Roman" w:eastAsia="Times New Roman" w:hAnsi="Times New Roman" w:cs="Times New Roman"/>
          <w:b/>
          <w:bCs/>
          <w:color w:val="auto"/>
        </w:rPr>
        <w:t xml:space="preserve">1. </w:t>
      </w:r>
      <w:r w:rsidR="00D45366" w:rsidRPr="00250C7F">
        <w:rPr>
          <w:rFonts w:ascii="Times New Roman" w:eastAsia="Times New Roman" w:hAnsi="Times New Roman" w:cs="Times New Roman"/>
          <w:b/>
          <w:color w:val="auto"/>
          <w:lang w:eastAsia="ro-RO"/>
        </w:rPr>
        <w:t>Contract de asistenţă juridică. Acţiune în pretenţii. Calitatea de profesionist a avocatului. Competenţă teritorială</w:t>
      </w:r>
      <w:bookmarkEnd w:id="41"/>
    </w:p>
    <w:p w14:paraId="40932E1B" w14:textId="77777777" w:rsidR="00D45366" w:rsidRPr="00250C7F" w:rsidRDefault="00D45366" w:rsidP="009F6D20">
      <w:pPr>
        <w:spacing w:after="0" w:line="240" w:lineRule="auto"/>
        <w:ind w:firstLine="708"/>
        <w:jc w:val="right"/>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C.proc.civ., art. 113 alin. (1)  pct. 8</w:t>
      </w:r>
    </w:p>
    <w:p w14:paraId="695CA0AA" w14:textId="77777777" w:rsidR="00D45366" w:rsidRPr="00250C7F" w:rsidRDefault="00D45366" w:rsidP="009F6D20">
      <w:pPr>
        <w:spacing w:after="0" w:line="240" w:lineRule="auto"/>
        <w:ind w:firstLine="708"/>
        <w:jc w:val="right"/>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                                                                                O.U.G. nr. 34/2014</w:t>
      </w:r>
    </w:p>
    <w:p w14:paraId="218C9850" w14:textId="77777777" w:rsidR="00D45366" w:rsidRPr="00250C7F" w:rsidRDefault="00D45366" w:rsidP="009F6D20">
      <w:pPr>
        <w:spacing w:after="0" w:line="240" w:lineRule="auto"/>
        <w:ind w:firstLine="708"/>
        <w:jc w:val="both"/>
        <w:rPr>
          <w:rFonts w:ascii="Times New Roman" w:eastAsia="Times New Roman" w:hAnsi="Times New Roman" w:cs="Times New Roman"/>
          <w:bCs/>
          <w:sz w:val="24"/>
          <w:szCs w:val="24"/>
          <w:lang w:eastAsia="ro-RO"/>
        </w:rPr>
      </w:pPr>
    </w:p>
    <w:p w14:paraId="29BC06E3" w14:textId="77777777" w:rsidR="00D45366" w:rsidRPr="00250C7F" w:rsidRDefault="00D45366" w:rsidP="00D45366">
      <w:pPr>
        <w:spacing w:after="0" w:line="276" w:lineRule="auto"/>
        <w:ind w:firstLine="708"/>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i/>
          <w:sz w:val="24"/>
          <w:szCs w:val="24"/>
          <w:lang w:eastAsia="ro-RO"/>
        </w:rPr>
        <w:t>Prin Hotărârea Curţii de Justiţie a Uniunii Europene din 15 ianuarie 2015, pronunţată în cauza C-537/13, s-a reţinut că Directiva 93/13/CEE a Consiliului din 5 aprilie 1993 privind clauzele abuzive în contractele încheiate cu consumatorii trebuie interpretată în sensul că aceasta se aplică contractelor standardizate de prestări de servicii juridice, încheiate de un avocat cu o persoană fizică ce nu acționează în scopuri legate de activitatea sa profesională.</w:t>
      </w:r>
    </w:p>
    <w:p w14:paraId="2D60F36E" w14:textId="77777777" w:rsidR="00D45366" w:rsidRPr="00250C7F" w:rsidRDefault="00D45366" w:rsidP="00D45366">
      <w:pPr>
        <w:spacing w:after="0" w:line="276" w:lineRule="auto"/>
        <w:ind w:firstLine="708"/>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i/>
          <w:sz w:val="24"/>
          <w:szCs w:val="24"/>
          <w:lang w:eastAsia="ro-RO"/>
        </w:rPr>
        <w:t>Astfel, s-a stabilit că  un avocat care, în cadrul activității sale profesionale, prestează, cu titlu oneros, un serviciu juridic în favoarea unei persoane fizice care acționează în scopuri private este un „vânzător sau furnizor”, în sensul articolului 2 litera (c) din Directiva 93/13/CEE, iar contractul privind prestarea unui astfel de serviciu este supus regimului acestei directive.</w:t>
      </w:r>
    </w:p>
    <w:p w14:paraId="4DFD786A" w14:textId="1898BF78" w:rsidR="00D45366" w:rsidRPr="00250C7F" w:rsidRDefault="00D45366" w:rsidP="00FF0CE7">
      <w:pPr>
        <w:spacing w:after="0" w:line="276" w:lineRule="auto"/>
        <w:ind w:firstLine="708"/>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i/>
          <w:sz w:val="24"/>
          <w:szCs w:val="24"/>
          <w:lang w:eastAsia="ro-RO"/>
        </w:rPr>
        <w:t>Prin urmare, cum izvorul raportului juridic dintre părţi este contractul de asistenţă juridică, în care reclamantul deţine calitatea de consumator, iar pârâta pe cea de profesionist, pent</w:t>
      </w:r>
      <w:r w:rsidR="00FF0CE7" w:rsidRPr="00250C7F">
        <w:rPr>
          <w:rFonts w:ascii="Times New Roman" w:eastAsia="Times New Roman" w:hAnsi="Times New Roman" w:cs="Times New Roman"/>
          <w:bCs/>
          <w:i/>
          <w:sz w:val="24"/>
          <w:szCs w:val="24"/>
          <w:lang w:eastAsia="ro-RO"/>
        </w:rPr>
        <w:t xml:space="preserve">ru determinarea competenţei de </w:t>
      </w:r>
      <w:r w:rsidRPr="00250C7F">
        <w:rPr>
          <w:rFonts w:ascii="Times New Roman" w:eastAsia="Times New Roman" w:hAnsi="Times New Roman" w:cs="Times New Roman"/>
          <w:bCs/>
          <w:i/>
          <w:sz w:val="24"/>
          <w:szCs w:val="24"/>
          <w:lang w:eastAsia="ro-RO"/>
        </w:rPr>
        <w:t>soluţionare a acţiunii prin care se solicită plata unor sume ce decurg din acest contract, este aplicabilă norma înscrisă în art. 113 alin. (1) pct. 8 Cod procedură civilă, al cărei scop este acela de a proteja consumatorul, facilitându-i accesul la justiţie printr-o dispoziţie favorabilă, ceea ce îi conferă prerogativa de a alege între două sau mai multe instanţe competente.</w:t>
      </w:r>
    </w:p>
    <w:p w14:paraId="100165E2" w14:textId="77777777" w:rsidR="00D45366" w:rsidRPr="00250C7F" w:rsidRDefault="00D45366" w:rsidP="00D45366">
      <w:pPr>
        <w:spacing w:after="0" w:line="276" w:lineRule="auto"/>
        <w:jc w:val="both"/>
        <w:rPr>
          <w:rFonts w:ascii="Times New Roman" w:eastAsia="Times New Roman" w:hAnsi="Times New Roman" w:cs="Times New Roman"/>
          <w:b/>
          <w:bCs/>
          <w:i/>
          <w:sz w:val="24"/>
          <w:szCs w:val="24"/>
          <w:lang w:eastAsia="ro-RO"/>
        </w:rPr>
      </w:pPr>
    </w:p>
    <w:p w14:paraId="20AE4DBE" w14:textId="77777777" w:rsidR="00D45366" w:rsidRPr="00250C7F" w:rsidRDefault="00D45366" w:rsidP="00D45366">
      <w:pPr>
        <w:spacing w:after="0" w:line="276" w:lineRule="auto"/>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I.C.C.J., Secţia I civilă, decizia nr. 1383 din 16 iunie 2021</w:t>
      </w:r>
    </w:p>
    <w:p w14:paraId="59E9462B" w14:textId="77777777" w:rsidR="00D45366" w:rsidRPr="00250C7F" w:rsidRDefault="00D45366" w:rsidP="00D45366">
      <w:pPr>
        <w:spacing w:after="0" w:line="276" w:lineRule="auto"/>
        <w:rPr>
          <w:rFonts w:ascii="Times New Roman" w:eastAsia="Times New Roman" w:hAnsi="Times New Roman" w:cs="Times New Roman"/>
          <w:b/>
          <w:bCs/>
          <w:sz w:val="24"/>
          <w:szCs w:val="24"/>
          <w:lang w:eastAsia="ro-RO"/>
        </w:rPr>
      </w:pPr>
    </w:p>
    <w:p w14:paraId="6535B8C9" w14:textId="77777777" w:rsidR="00D45366" w:rsidRPr="00250C7F" w:rsidRDefault="00D45366" w:rsidP="00D45366">
      <w:pPr>
        <w:spacing w:after="0" w:line="276" w:lineRule="auto"/>
        <w:ind w:firstLine="708"/>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Prin cererea înregistrată pe rolul Judecătoriei Galați, la data de 20 mai 2020, reclamantul A. a solicitat, în contradictoriu cu Casa de avocatură B. și Asociații, obligarea pârâtei la plata sumei de 3600 lei, reprezentând onorariu plătit, a dobânzii legale aferente de la data semnării contractului de asistență, respectiv de la data de 04 mai 2016 și până la data plății efective, obligarea pârâtei la plata sumei de 3000 lei, reprezentând cheltuieli de judecată la care a fost obligat prin hotărârea nr. 9492/2017, obligarea pârâtei la plata sumei de 3400 lei, reprezentând taxă judiciară de timbru și alte cheltuieli necesare promovării acțiunii, precum și obligarea pârâtei la plata sumei de 7457,19 CHF, reprezentând suma ce trebuia recuperată, arătând, în esenţă, că împreună cu alți 5 reclamanți au fost convinși de avocat B. să promoveze acțiune împotriva C. Bank România, D. SA și E. Bank NV, pentru a recupera dobânda  plătită în perioada în care creditul a fost externalizat, sens în care a fost încheiat Contractul de asistență juridică nr. x/04.05.2016 și s-a format dosarul nr. x/3/2016 al Judecătoriei Sector 6 București. </w:t>
      </w:r>
    </w:p>
    <w:p w14:paraId="58FED6B4" w14:textId="77777777" w:rsidR="00D45366" w:rsidRPr="00250C7F" w:rsidRDefault="00D45366" w:rsidP="00D45366">
      <w:pPr>
        <w:spacing w:after="0" w:line="276" w:lineRule="auto"/>
        <w:ind w:firstLine="708"/>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A mai precizat că instanța a disjuns cele cinci cereri și, astfel, s-a format dosarul nr. x/303/2017, iar prin sentinţa nr. 9492/2017, Judecătoria Sectorului 6 Bucureşti a respins cererea de chemare în judecată şi l-a obligat pe reclamant la plata sumei de 3000 lei, cu titlu de cheltuieli de judecată.</w:t>
      </w:r>
    </w:p>
    <w:p w14:paraId="437F8F82" w14:textId="77777777" w:rsidR="00D45366" w:rsidRPr="00250C7F" w:rsidRDefault="00D45366" w:rsidP="00D45366">
      <w:pPr>
        <w:spacing w:after="0" w:line="276" w:lineRule="auto"/>
        <w:ind w:firstLine="708"/>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lastRenderedPageBreak/>
        <w:t>Pârâta  a formulat întâmpinare prin care  a solicitat respingerea cererii, ca neîntemeiată, iar, pe cale de excepție, a invocat excepția necompetenței teritoriale, excepția netimbrării şi excepția lipsei capacității procesuale de folosință a CA B. și Asociații.</w:t>
      </w:r>
    </w:p>
    <w:p w14:paraId="0FB13915" w14:textId="77777777" w:rsidR="00D45366" w:rsidRPr="00250C7F" w:rsidRDefault="00D45366" w:rsidP="00D45366">
      <w:pPr>
        <w:spacing w:after="0" w:line="276" w:lineRule="auto"/>
        <w:ind w:firstLine="708"/>
        <w:jc w:val="both"/>
        <w:rPr>
          <w:rFonts w:ascii="Times New Roman" w:eastAsia="Calibri" w:hAnsi="Times New Roman" w:cs="Times New Roman"/>
          <w:sz w:val="24"/>
          <w:szCs w:val="24"/>
          <w:lang w:eastAsia="ro-RO"/>
        </w:rPr>
      </w:pPr>
      <w:r w:rsidRPr="00250C7F">
        <w:rPr>
          <w:rFonts w:ascii="Times New Roman" w:eastAsia="Calibri" w:hAnsi="Times New Roman" w:cs="Times New Roman"/>
          <w:i/>
          <w:sz w:val="24"/>
          <w:szCs w:val="24"/>
          <w:lang w:eastAsia="ro-RO"/>
        </w:rPr>
        <w:t xml:space="preserve">Prin sentinţa civilă nr. 5584 din 29.10.2020, pronunţată de Judecătoria Galaţi, </w:t>
      </w:r>
      <w:r w:rsidRPr="00250C7F">
        <w:rPr>
          <w:rFonts w:ascii="Times New Roman" w:eastAsia="Calibri" w:hAnsi="Times New Roman" w:cs="Times New Roman"/>
          <w:sz w:val="24"/>
          <w:szCs w:val="24"/>
          <w:lang w:eastAsia="ro-RO"/>
        </w:rPr>
        <w:t>a fost admisă excepţia necompetenţei teritoriale, invocată de pârâta CA B., şi a fost declinată competenţa de soluţionare a cauzei, în favoarea Judecătoriei Tulcea.</w:t>
      </w:r>
    </w:p>
    <w:p w14:paraId="1CE79FB7" w14:textId="77777777" w:rsidR="00D45366" w:rsidRPr="00250C7F" w:rsidRDefault="00D45366" w:rsidP="00D45366">
      <w:pPr>
        <w:spacing w:after="0" w:line="276" w:lineRule="auto"/>
        <w:ind w:firstLine="708"/>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În motivare, această instanţă a reţinut incidenţa dispozițiilor art.107 Cod procedură civilă, potrivit cărora cererea de chemare în judecată se introduce la instanța în a cărei circumscripție domiciliază sau își are sediul pârâtul dacă legea nu prevede altfel, arătându-se că, în cauză, nu se aplică dispozițiile art. 113 alin (1) și (4) Cod procedură civilă, deoarece în contractul părților nu a fost menționat, în mod expres, că locul de executare al obligațiilor este la Galați, iar obiectul contractului constă în prestarea unor servicii de asistență juridică.</w:t>
      </w:r>
    </w:p>
    <w:p w14:paraId="7CE6F516" w14:textId="77777777" w:rsidR="00D45366" w:rsidRPr="00250C7F" w:rsidRDefault="00D45366" w:rsidP="00D45366">
      <w:pPr>
        <w:spacing w:after="0" w:line="276" w:lineRule="auto"/>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ab/>
        <w:t>S-a mai arătat că, potrivit contractului de asistență juridică din 4.05.2016, pârâta figurează cu sediul în Tulcea, localitate ce se află în circumscripţia teritorială a Judecătoriei Tulcea.</w:t>
      </w:r>
    </w:p>
    <w:p w14:paraId="43554361" w14:textId="77777777" w:rsidR="00D45366" w:rsidRPr="00250C7F" w:rsidRDefault="00D45366" w:rsidP="00D45366">
      <w:pPr>
        <w:spacing w:after="0" w:line="276" w:lineRule="auto"/>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
          <w:sz w:val="24"/>
          <w:szCs w:val="24"/>
          <w:lang w:eastAsia="ro-RO"/>
        </w:rPr>
        <w:tab/>
      </w:r>
      <w:r w:rsidRPr="00250C7F">
        <w:rPr>
          <w:rFonts w:ascii="Times New Roman" w:eastAsia="Times New Roman" w:hAnsi="Times New Roman" w:cs="Times New Roman"/>
          <w:i/>
          <w:sz w:val="24"/>
          <w:szCs w:val="24"/>
          <w:lang w:eastAsia="ro-RO"/>
        </w:rPr>
        <w:t xml:space="preserve">Învestită prin declinare, Judecătoria Tulcea – Secţia civilă şi penală, prin sentinţa civilă nr. 926 din 6.04.2021, </w:t>
      </w:r>
      <w:r w:rsidRPr="00250C7F">
        <w:rPr>
          <w:rFonts w:ascii="Times New Roman" w:eastAsia="Times New Roman" w:hAnsi="Times New Roman" w:cs="Times New Roman"/>
          <w:sz w:val="24"/>
          <w:szCs w:val="24"/>
          <w:lang w:eastAsia="ro-RO"/>
        </w:rPr>
        <w:t xml:space="preserve">a </w:t>
      </w:r>
      <w:r w:rsidRPr="00250C7F">
        <w:rPr>
          <w:rFonts w:ascii="Times New Roman" w:eastAsia="Times New Roman" w:hAnsi="Times New Roman" w:cs="Times New Roman"/>
          <w:bCs/>
          <w:sz w:val="24"/>
          <w:szCs w:val="24"/>
          <w:lang w:eastAsia="ro-RO"/>
        </w:rPr>
        <w:t>admis excepţia necompetenţei sale teritoriale, a declinat competenţa de soluţionare a cauzei</w:t>
      </w:r>
      <w:r w:rsidRPr="00250C7F">
        <w:rPr>
          <w:rFonts w:ascii="Times New Roman" w:eastAsia="Times New Roman" w:hAnsi="Times New Roman" w:cs="Times New Roman"/>
          <w:b/>
          <w:bCs/>
          <w:sz w:val="24"/>
          <w:szCs w:val="24"/>
          <w:lang w:eastAsia="ro-RO"/>
        </w:rPr>
        <w:t xml:space="preserve"> </w:t>
      </w:r>
      <w:r w:rsidRPr="00250C7F">
        <w:rPr>
          <w:rFonts w:ascii="Times New Roman" w:eastAsia="Times New Roman" w:hAnsi="Times New Roman" w:cs="Times New Roman"/>
          <w:bCs/>
          <w:sz w:val="24"/>
          <w:szCs w:val="24"/>
          <w:lang w:eastAsia="ro-RO"/>
        </w:rPr>
        <w:t>în favoarea Judecătoriei Galaţi, a constatat ivit conflictul negativ de competenţă, a suspendat judecarea cauzei şi a înaintat dosarul Înaltei Curţi de Casaţie şi Justiţie, în vederea soluţionării conflictului de competenţă.</w:t>
      </w:r>
    </w:p>
    <w:p w14:paraId="3906B9C7"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Pentru a hotărî astfel, această instanţă a reţinut că, raportat la faptul că reclamantul îşi întemeiază pretenţiile pe un contract de asistenţă juridică încheiat cu avocatul, în cauză sunt incidente dispoziţiile art. 113 alin. (1) pct. 8 din Codul de procedură civilă, potrivit cărora în afară de instanţele prevăzute la art. 107 - 112, mai sunt competente instanţa domiciliului consumatorului, în cererile având ca obiect executarea, constatarea nulităţii absolute, anularea, rezoluţiunea, rezilierea sau denunţarea unilaterală a contractului încheiat cu un profesionist sau în cererile având ca obiect repararea pagubelor produse consumatorilor.</w:t>
      </w:r>
    </w:p>
    <w:p w14:paraId="5211E374"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Potrivit art. 3 alin. (2) din Codul civil, sunt consideraţi profesionişti toţi cei care exploatează o întreprindere. Iar potrivit alin. (3) din acelaşi cod, constituie exploatarea unei întreprinderi exercitarea sistematică, de către una sau mai multe persoane, a unei activităţi organizate ce constă în producerea, administrarea ori înstrăinarea de bunuri sau în prestarea de servicii, indiferent dacă are sau nu un scop lucrativ.</w:t>
      </w:r>
    </w:p>
    <w:p w14:paraId="75F93D2D" w14:textId="341C25BF" w:rsidR="00D45366" w:rsidRPr="00250C7F" w:rsidRDefault="00D45366" w:rsidP="00100420">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 În conformitate cu art. 8 din Legea nr. 71/2011 noţiunea „profesionist” include categoriile de comerciant, întreprinzător, operator economic, precum şi orice alte persoane autorizate să desfă</w:t>
      </w:r>
      <w:r w:rsidR="00100420" w:rsidRPr="00250C7F">
        <w:rPr>
          <w:rFonts w:ascii="Times New Roman" w:eastAsia="Times New Roman" w:hAnsi="Times New Roman" w:cs="Times New Roman"/>
          <w:bCs/>
          <w:sz w:val="24"/>
          <w:szCs w:val="24"/>
          <w:lang w:eastAsia="ro-RO"/>
        </w:rPr>
        <w:t xml:space="preserve">şoare activităţi economice sau </w:t>
      </w:r>
      <w:r w:rsidRPr="00250C7F">
        <w:rPr>
          <w:rFonts w:ascii="Times New Roman" w:eastAsia="Times New Roman" w:hAnsi="Times New Roman" w:cs="Times New Roman"/>
          <w:bCs/>
          <w:sz w:val="24"/>
          <w:szCs w:val="24"/>
          <w:lang w:eastAsia="ro-RO"/>
        </w:rPr>
        <w:t xml:space="preserve">profesionale, astfel cum aceste noţiuni sunt prevăzute de lege, la data intrării în vigoare a Codului civil. </w:t>
      </w:r>
    </w:p>
    <w:p w14:paraId="75ACE78C"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De asemenea, potrivit art. 1 din Legea nr. 51/1995 pentru organizarea şi exercitarea profesiei de avocat, profesia de avocat este liberă şi independentă, cu organizare şi funcţionare autonome, în condiţiile prezentei legi şi ale statutului profesiei.</w:t>
      </w:r>
    </w:p>
    <w:p w14:paraId="053BDDF9"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Profesia de avocat este o profesie liberală, încadrată în noțiunea de profesionist și având în vedere contractul de asistență juridică încheiat între părți, instanța constată calitatea de profesionist, respectiv de consumator, a părților. </w:t>
      </w:r>
    </w:p>
    <w:p w14:paraId="64BF5386"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S-a mai reţinut că reclamantul a înțeles să învestească inițial instanța de la domiciliul său, respectiv Judecătoria Galați, iar pârâtul a invocat, prin întâmpinare, excepția necompetenței instanței, însă reclamantul, prin răspunsul la întâmpinare, a invocat și dispozițiile art. 113 alin. (1) </w:t>
      </w:r>
      <w:r w:rsidRPr="00250C7F">
        <w:rPr>
          <w:rFonts w:ascii="Times New Roman" w:eastAsia="Times New Roman" w:hAnsi="Times New Roman" w:cs="Times New Roman"/>
          <w:bCs/>
          <w:sz w:val="24"/>
          <w:szCs w:val="24"/>
          <w:lang w:eastAsia="ro-RO"/>
        </w:rPr>
        <w:lastRenderedPageBreak/>
        <w:t xml:space="preserve">pct. 8 din Codul de procedură civilă, arătând că a ales să introducă cererea de chemare în judecată la Judecătoria Galați, în temeiul art. 116 Cod de procedură civilă, potrivit cărora, reclamantul are alegerea între mai multe instanțe deopotrivă competente. </w:t>
      </w:r>
    </w:p>
    <w:p w14:paraId="1AF4331E"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Concluzionând, instanţa a apreciat că dispoziţiile art. 113 alin. (1) pct. 8 din Codul de procedură civilă conferă reclamantului beneficiul alegerii instanței la care să introducă acțiunea, iar acesta a introdus-o la instanța domiciliului său, respectiv Judecătoria Galați, sens în care această instanţă a devenit competentă să judece cauza.</w:t>
      </w:r>
    </w:p>
    <w:p w14:paraId="2559CDE8" w14:textId="77777777" w:rsidR="00D45366" w:rsidRPr="00250C7F" w:rsidRDefault="00D45366" w:rsidP="00D45366">
      <w:pPr>
        <w:spacing w:after="0" w:line="276" w:lineRule="auto"/>
        <w:ind w:firstLine="708"/>
        <w:jc w:val="both"/>
        <w:rPr>
          <w:rFonts w:ascii="Times New Roman" w:eastAsia="Times New Roman" w:hAnsi="Times New Roman" w:cs="Times New Roman"/>
          <w:b/>
          <w:sz w:val="24"/>
          <w:szCs w:val="24"/>
          <w:lang w:eastAsia="ro-RO"/>
        </w:rPr>
      </w:pPr>
      <w:bookmarkStart w:id="42" w:name="_Hlk66997952"/>
      <w:r w:rsidRPr="00250C7F">
        <w:rPr>
          <w:rFonts w:ascii="Times New Roman" w:eastAsia="Times New Roman" w:hAnsi="Times New Roman" w:cs="Times New Roman"/>
          <w:b/>
          <w:iCs/>
          <w:sz w:val="24"/>
          <w:szCs w:val="24"/>
          <w:lang w:eastAsia="ro-RO"/>
        </w:rPr>
        <w:t>Examinând</w:t>
      </w:r>
      <w:r w:rsidRPr="00250C7F">
        <w:rPr>
          <w:rFonts w:ascii="Times New Roman" w:eastAsia="Times New Roman" w:hAnsi="Times New Roman" w:cs="Times New Roman"/>
          <w:b/>
          <w:iCs/>
          <w:color w:val="000000"/>
          <w:sz w:val="24"/>
          <w:szCs w:val="24"/>
          <w:lang w:eastAsia="ro-RO"/>
        </w:rPr>
        <w:t xml:space="preserve"> </w:t>
      </w:r>
      <w:r w:rsidRPr="00250C7F">
        <w:rPr>
          <w:rFonts w:ascii="Times New Roman" w:eastAsia="Times New Roman" w:hAnsi="Times New Roman" w:cs="Times New Roman"/>
          <w:b/>
          <w:sz w:val="24"/>
          <w:szCs w:val="24"/>
          <w:lang w:eastAsia="ro-RO"/>
        </w:rPr>
        <w:t>conflictul negativ de competenţă cu a cărui judecată a fost legal sesizată, în temeiul dispoziţiilor art. 133 pct. 2 coroborate cu cele ale art. 135 alin. (1) Cod procedură civilă, Înalta Curte reţine următoarele:</w:t>
      </w:r>
    </w:p>
    <w:bookmarkEnd w:id="42"/>
    <w:p w14:paraId="013D061E"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sz w:val="24"/>
          <w:szCs w:val="24"/>
          <w:lang w:eastAsia="ro-RO"/>
        </w:rPr>
        <w:t xml:space="preserve">Obiectul demersului judiciar dedus judecăţii în constituie cererea prin care reclamantul </w:t>
      </w:r>
      <w:r w:rsidRPr="00250C7F">
        <w:rPr>
          <w:rFonts w:ascii="Times New Roman" w:eastAsia="Calibri" w:hAnsi="Times New Roman" w:cs="Times New Roman"/>
          <w:sz w:val="24"/>
          <w:szCs w:val="24"/>
          <w:lang w:eastAsia="ro-RO"/>
        </w:rPr>
        <w:t>A. a solicitat obligarea pârâtei Casa de avocatură B. și Asociații la plata unor sume ce decurg din contractul de asistenţă juridică nr. x din 04 mai 2016.</w:t>
      </w:r>
    </w:p>
    <w:p w14:paraId="1D204F4B"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Astfel, Înalta Curte reţine că Judecătoria Galaţi şi Judecătoria Tulcea şi-au declinat reciproc competenţa de soluţionare a cauzei, conflictul negativ de competenţă fiind generat de reţinerile diferite ale celor două instanţe cu privire la dispoziţiile legale aplicabile în speţă pentru stabilirea competenţei de soluţionare a litigiului, respectiv Judecătoria Galaţi a dat eficienţă dispoziţiilor art. 107 Cod procedură civilă, în timp ce Judecătoria Tulcea a reţinut incidenţa prevederilor art. 113 alin. (1) pct. 8 Cod procedură civilă. </w:t>
      </w:r>
    </w:p>
    <w:p w14:paraId="7B8EB208"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Regula generală în materia competenţei teritoriale este instituită de art. 107 Cod procedură civilă, care prevede că: ,,Cererea de chemare în judecată se introduce la instanţa în a cărei circumscripţie domiciliază sau îşi are sediul pârâtul, dacă legea nu prevede altfel”.</w:t>
      </w:r>
    </w:p>
    <w:p w14:paraId="2C50D4AE"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Dispoziţiile art. 113 Cod procedură civilă, ce stabilesc o competenţă teritorială alternativă, stipulează în alin. (1) pct. 8 că: ,,în afară de instanţa în a cărei circumscripţie domiciliază sau îşi are sediul pârâtul, mai este competentă instanţa domiciliului consumatorului, în cererile având ca obiect executarea, constatarea nulităţii absolute, anularea, rezoluţiunea, rezilierea sau denunţarea unilaterală a contractului încheiat cu un profesionist sau în cererile având ca obiect repararea pagubelor produse consumatorilor”.</w:t>
      </w:r>
    </w:p>
    <w:p w14:paraId="33FBEB82"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În conformitate cu dispoziţiile OG nr. 21/1992 privind protecţia consumatorilor şi ale Legii nr. 193/2000 privind clauzele abuzive din contractele încheiate între profesionişti şi consumatori, subiectele raportului juridic ce intră sub incidenţa legislaţiei privind protecţia consumatorilor sunt profesionistul (comerciantul) care fabrică un produs, îl distribuie, comercializează, respectiv furnizează un serviciu şi, pe de altă parte, consumatorul care achiziţionează un produs ori beneficiază de un serviciu oferit de un profesionist.</w:t>
      </w:r>
    </w:p>
    <w:p w14:paraId="62869AF6"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Ordonanța de urgență nr. 34/2014 privind drepturile consumatorilor în cadrul contractelor încheiate cu profesioniștii, precum și pentru modificarea și completarea unor acte normative, a modificat Legea nr. 193/2000 privind clauzele abuzive din contractele încheiate între profesionişti şi consumatori, având în vedere transpunerea în legislația națională a Directivei </w:t>
      </w:r>
      <w:hyperlink r:id="rId15" w:tgtFrame="_blank" w:history="1">
        <w:r w:rsidRPr="00250C7F">
          <w:rPr>
            <w:rFonts w:ascii="Times New Roman" w:eastAsia="Times New Roman" w:hAnsi="Times New Roman" w:cs="Times New Roman"/>
            <w:bCs/>
            <w:sz w:val="24"/>
            <w:szCs w:val="24"/>
            <w:lang w:eastAsia="ro-RO"/>
          </w:rPr>
          <w:t>2011/83</w:t>
        </w:r>
      </w:hyperlink>
      <w:r w:rsidRPr="00250C7F">
        <w:rPr>
          <w:rFonts w:ascii="Times New Roman" w:eastAsia="Times New Roman" w:hAnsi="Times New Roman" w:cs="Times New Roman"/>
          <w:bCs/>
          <w:sz w:val="24"/>
          <w:szCs w:val="24"/>
          <w:lang w:eastAsia="ro-RO"/>
        </w:rPr>
        <w:t xml:space="preserve">/UE a Parlamentului European și a Consiliului din 25 octombrie 2011 privind drepturile consumatorilor, de modificare a </w:t>
      </w:r>
      <w:r w:rsidRPr="00250C7F">
        <w:rPr>
          <w:rFonts w:ascii="Times New Roman" w:eastAsia="Times New Roman" w:hAnsi="Times New Roman" w:cs="Times New Roman"/>
          <w:bCs/>
          <w:i/>
          <w:sz w:val="24"/>
          <w:szCs w:val="24"/>
          <w:lang w:eastAsia="ro-RO"/>
        </w:rPr>
        <w:t>Directivei </w:t>
      </w:r>
      <w:hyperlink r:id="rId16" w:tgtFrame="_blank" w:history="1">
        <w:r w:rsidRPr="00250C7F">
          <w:rPr>
            <w:rFonts w:ascii="Times New Roman" w:eastAsia="Times New Roman" w:hAnsi="Times New Roman" w:cs="Times New Roman"/>
            <w:bCs/>
            <w:i/>
            <w:sz w:val="24"/>
            <w:szCs w:val="24"/>
            <w:lang w:eastAsia="ro-RO"/>
          </w:rPr>
          <w:t>93/13</w:t>
        </w:r>
      </w:hyperlink>
      <w:r w:rsidRPr="00250C7F">
        <w:rPr>
          <w:rFonts w:ascii="Times New Roman" w:eastAsia="Times New Roman" w:hAnsi="Times New Roman" w:cs="Times New Roman"/>
          <w:bCs/>
          <w:i/>
          <w:sz w:val="24"/>
          <w:szCs w:val="24"/>
          <w:lang w:eastAsia="ro-RO"/>
        </w:rPr>
        <w:t>/CEE a Consiliului</w:t>
      </w:r>
      <w:r w:rsidRPr="00250C7F">
        <w:rPr>
          <w:rFonts w:ascii="Times New Roman" w:eastAsia="Times New Roman" w:hAnsi="Times New Roman" w:cs="Times New Roman"/>
          <w:bCs/>
          <w:sz w:val="24"/>
          <w:szCs w:val="24"/>
          <w:lang w:eastAsia="ro-RO"/>
        </w:rPr>
        <w:t xml:space="preserve"> și a Directivei </w:t>
      </w:r>
      <w:hyperlink r:id="rId17" w:tgtFrame="_blank" w:history="1">
        <w:r w:rsidRPr="00250C7F">
          <w:rPr>
            <w:rFonts w:ascii="Times New Roman" w:eastAsia="Times New Roman" w:hAnsi="Times New Roman" w:cs="Times New Roman"/>
            <w:bCs/>
            <w:sz w:val="24"/>
            <w:szCs w:val="24"/>
            <w:lang w:eastAsia="ro-RO"/>
          </w:rPr>
          <w:t>1999/44</w:t>
        </w:r>
      </w:hyperlink>
      <w:r w:rsidRPr="00250C7F">
        <w:rPr>
          <w:rFonts w:ascii="Times New Roman" w:eastAsia="Times New Roman" w:hAnsi="Times New Roman" w:cs="Times New Roman"/>
          <w:bCs/>
          <w:sz w:val="24"/>
          <w:szCs w:val="24"/>
          <w:lang w:eastAsia="ro-RO"/>
        </w:rPr>
        <w:t>/CE a Parlamentului European și a Consiliului și de abrogare a Directivei </w:t>
      </w:r>
      <w:hyperlink r:id="rId18" w:tgtFrame="_blank" w:history="1">
        <w:r w:rsidRPr="00250C7F">
          <w:rPr>
            <w:rFonts w:ascii="Times New Roman" w:eastAsia="Times New Roman" w:hAnsi="Times New Roman" w:cs="Times New Roman"/>
            <w:bCs/>
            <w:sz w:val="24"/>
            <w:szCs w:val="24"/>
            <w:lang w:eastAsia="ro-RO"/>
          </w:rPr>
          <w:t>85/577</w:t>
        </w:r>
      </w:hyperlink>
      <w:r w:rsidRPr="00250C7F">
        <w:rPr>
          <w:rFonts w:ascii="Times New Roman" w:eastAsia="Times New Roman" w:hAnsi="Times New Roman" w:cs="Times New Roman"/>
          <w:bCs/>
          <w:sz w:val="24"/>
          <w:szCs w:val="24"/>
          <w:lang w:eastAsia="ro-RO"/>
        </w:rPr>
        <w:t>/CEE a Consiliului și a Directivei </w:t>
      </w:r>
      <w:hyperlink r:id="rId19" w:tgtFrame="_blank" w:history="1">
        <w:r w:rsidRPr="00250C7F">
          <w:rPr>
            <w:rFonts w:ascii="Times New Roman" w:eastAsia="Times New Roman" w:hAnsi="Times New Roman" w:cs="Times New Roman"/>
            <w:bCs/>
            <w:sz w:val="24"/>
            <w:szCs w:val="24"/>
            <w:lang w:eastAsia="ro-RO"/>
          </w:rPr>
          <w:t>97/7/</w:t>
        </w:r>
      </w:hyperlink>
      <w:r w:rsidRPr="00250C7F">
        <w:rPr>
          <w:rFonts w:ascii="Times New Roman" w:eastAsia="Times New Roman" w:hAnsi="Times New Roman" w:cs="Times New Roman"/>
          <w:bCs/>
          <w:sz w:val="24"/>
          <w:szCs w:val="24"/>
          <w:lang w:eastAsia="ro-RO"/>
        </w:rPr>
        <w:t>CE a Parlamentului European și a Consiliului trebuia realizată până la data de 13 decembrie 2013.</w:t>
      </w:r>
    </w:p>
    <w:p w14:paraId="60F3CD2C"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lastRenderedPageBreak/>
        <w:t>De altfel, prin Hotărârea Curţii de Justiţie a Uniunii Europene din 15 ianuarie 2015, pronunţată în cauza C-537/13, s-a reţinut că Directiva 93/13/CEE a Consiliului din 5 aprilie 1993 privind clauzele abuzive în contractele încheiate cu consumatorii trebuie interpretată în sensul că aceasta se aplică contractelor standardizate de prestări de servicii juridice, încheiate de un avocat cu o persoană fizică ce nu acționează în scopuri legate de activitatea sa profesională.</w:t>
      </w:r>
    </w:p>
    <w:p w14:paraId="0412E9DA"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Astfel, s-a stabilit că  un avocat care, în cadrul activității sale profesionale, prestează, cu titlu oneros, un serviciu juridic în favoarea unei persoane fizice care acționează în scopuri private este un „vânzător sau furnizor”, în sensul articolului 2 litera (c) din Directiva 93/13/CEE, iar contractul privind prestarea unui astfel de serviciu este supus regimului acestei directive.</w:t>
      </w:r>
    </w:p>
    <w:p w14:paraId="64A21401"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Înalta Curte constată că obiectul prezentului litigiu se circumscrie ipotezelor avute în vedere de art. 113 alin. (1) pct. 8 Cod procedură civilă, izvorul raportului juridic dintre părţi fiind contractul de asistenţă juridică, în care reclamantul deţine calitatea de consumator, iar pârâta pe cea de profesionist.</w:t>
      </w:r>
    </w:p>
    <w:p w14:paraId="38E652F7"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În raport de aceste aspecte, pentru determinarea competenţei de soluţionare a pricinii, este aplicabilă norma înscrisă în art. 113 alin. (1) pct. 8 Cod procedură civilă, al cărei scop este acela de a proteja consumatorul, facilitându-i accesul la justiţie printr-o dispoziţie favorabilă, ceea ce îi conferă prerogativa de a alege între două sau </w:t>
      </w:r>
    </w:p>
    <w:p w14:paraId="77099715" w14:textId="77777777" w:rsidR="00D45366" w:rsidRPr="00250C7F" w:rsidRDefault="00D45366" w:rsidP="00D45366">
      <w:pPr>
        <w:spacing w:after="0" w:line="276" w:lineRule="auto"/>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mai multe instanţe competente.</w:t>
      </w:r>
    </w:p>
    <w:p w14:paraId="45F5FA2A"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Totodată, pentru toate cazurile în care legea stabileşte o competenţă teritorială alternativă, dreptul de a alege între mai multe instanţele deopotrivă competente revine exclusiv reclamantului, în temeiul art. 116 Cod procedură civilă.</w:t>
      </w:r>
    </w:p>
    <w:p w14:paraId="088AE8B7" w14:textId="77777777" w:rsidR="00D45366" w:rsidRPr="00250C7F" w:rsidRDefault="00D45366" w:rsidP="00D45366">
      <w:pPr>
        <w:spacing w:after="0" w:line="276" w:lineRule="auto"/>
        <w:ind w:firstLine="708"/>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Cum, în aplicarea art. 116 Cod procedură civilă raportat la art. 113 alin. (1) pct. 8 din acelaşi cod, reclamantul a înţeles să introducă acţiunea la instanţa în a cărei circumscripţie teritorială se află domiciliul său, care se află în circumscripţia Judecătoriei Galaţi, Înalta Curte reţine că acestei instanţe îi revine competenţa de a soluţiona cererea de chemare în judecată.</w:t>
      </w:r>
    </w:p>
    <w:p w14:paraId="2D28A194" w14:textId="2DA59D03" w:rsidR="003B2C29" w:rsidRPr="00250C7F" w:rsidRDefault="00D45366" w:rsidP="001C6535">
      <w:pPr>
        <w:shd w:val="clear" w:color="auto" w:fill="FFFFFF"/>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Calibri" w:hAnsi="Times New Roman" w:cs="Times New Roman"/>
          <w:sz w:val="24"/>
          <w:szCs w:val="24"/>
          <w:lang w:eastAsia="ro-RO"/>
        </w:rPr>
        <w:t>Pentru aceste considerente,</w:t>
      </w:r>
      <w:r w:rsidRPr="00250C7F">
        <w:rPr>
          <w:rFonts w:ascii="Times New Roman" w:eastAsia="Times New Roman" w:hAnsi="Times New Roman" w:cs="Times New Roman"/>
          <w:sz w:val="24"/>
          <w:szCs w:val="24"/>
          <w:lang w:eastAsia="ro-RO"/>
        </w:rPr>
        <w:t xml:space="preserve"> Înalta Curte, </w:t>
      </w:r>
      <w:r w:rsidRPr="00250C7F">
        <w:rPr>
          <w:rFonts w:ascii="Times New Roman" w:eastAsia="Calibri" w:hAnsi="Times New Roman" w:cs="Times New Roman"/>
          <w:sz w:val="24"/>
          <w:szCs w:val="24"/>
          <w:lang w:eastAsia="ro-RO"/>
        </w:rPr>
        <w:t xml:space="preserve">în temeiul dispoziţiilor art. 135 alin. (4) Cod procedură civilă, a stabilit competenţa de soluţionare a </w:t>
      </w:r>
      <w:r w:rsidRPr="00250C7F">
        <w:rPr>
          <w:rFonts w:ascii="Times New Roman" w:eastAsia="Times New Roman" w:hAnsi="Times New Roman" w:cs="Times New Roman"/>
          <w:sz w:val="24"/>
          <w:szCs w:val="24"/>
          <w:lang w:eastAsia="ro-RO"/>
        </w:rPr>
        <w:t>cererii de chemare în judecată formulată de reclamantul A., în contradictoriu cu pârâta Casa de Avocatură B. şi Asociaţii, în favoarea Judecătoriei Galaţi.</w:t>
      </w:r>
    </w:p>
    <w:p w14:paraId="45855315" w14:textId="77777777" w:rsidR="001C6535" w:rsidRPr="00250C7F" w:rsidRDefault="001C6535" w:rsidP="001C6535">
      <w:pPr>
        <w:shd w:val="clear" w:color="auto" w:fill="FFFFFF"/>
        <w:spacing w:after="0" w:line="276" w:lineRule="auto"/>
        <w:ind w:firstLine="708"/>
        <w:jc w:val="both"/>
        <w:rPr>
          <w:rFonts w:ascii="Times New Roman" w:eastAsia="Times New Roman" w:hAnsi="Times New Roman" w:cs="Times New Roman"/>
          <w:sz w:val="24"/>
          <w:szCs w:val="24"/>
          <w:lang w:eastAsia="ro-RO"/>
        </w:rPr>
      </w:pPr>
    </w:p>
    <w:p w14:paraId="08E7A147" w14:textId="046662B3" w:rsidR="002806B7" w:rsidRPr="00250C7F" w:rsidRDefault="002806B7" w:rsidP="00891584">
      <w:pPr>
        <w:pStyle w:val="Heading2"/>
        <w:spacing w:line="276" w:lineRule="auto"/>
        <w:jc w:val="center"/>
        <w:rPr>
          <w:rFonts w:ascii="Times New Roman" w:hAnsi="Times New Roman" w:cs="Times New Roman"/>
          <w:b/>
          <w:bCs/>
          <w:i/>
          <w:color w:val="auto"/>
          <w:sz w:val="24"/>
          <w:szCs w:val="24"/>
        </w:rPr>
      </w:pPr>
      <w:bookmarkStart w:id="43" w:name="_Toc84584825"/>
      <w:r w:rsidRPr="00250C7F">
        <w:rPr>
          <w:rFonts w:ascii="Times New Roman" w:hAnsi="Times New Roman" w:cs="Times New Roman"/>
          <w:b/>
          <w:bCs/>
          <w:i/>
          <w:color w:val="auto"/>
          <w:sz w:val="24"/>
          <w:szCs w:val="24"/>
        </w:rPr>
        <w:t xml:space="preserve">II. </w:t>
      </w:r>
      <w:r w:rsidR="00D45366" w:rsidRPr="00250C7F">
        <w:rPr>
          <w:rFonts w:ascii="Times New Roman" w:hAnsi="Times New Roman" w:cs="Times New Roman"/>
          <w:b/>
          <w:bCs/>
          <w:i/>
          <w:color w:val="auto"/>
          <w:sz w:val="24"/>
          <w:szCs w:val="24"/>
        </w:rPr>
        <w:t>Actele de procedură</w:t>
      </w:r>
      <w:bookmarkEnd w:id="43"/>
    </w:p>
    <w:p w14:paraId="3922D9F7" w14:textId="77777777" w:rsidR="00FE6F43" w:rsidRPr="00250C7F" w:rsidRDefault="00FE6F43" w:rsidP="00891584">
      <w:pPr>
        <w:spacing w:line="276" w:lineRule="auto"/>
        <w:jc w:val="both"/>
        <w:rPr>
          <w:rFonts w:ascii="Times New Roman" w:hAnsi="Times New Roman" w:cs="Times New Roman"/>
          <w:b/>
          <w:highlight w:val="yellow"/>
        </w:rPr>
      </w:pPr>
    </w:p>
    <w:p w14:paraId="0910A2EA" w14:textId="408E3BF6" w:rsidR="000B27D4" w:rsidRPr="00250C7F" w:rsidRDefault="00D45366" w:rsidP="000303CA">
      <w:pPr>
        <w:pStyle w:val="Heading3"/>
        <w:spacing w:before="0" w:line="276" w:lineRule="auto"/>
        <w:jc w:val="both"/>
        <w:rPr>
          <w:rFonts w:ascii="Times New Roman" w:eastAsia="Times New Roman" w:hAnsi="Times New Roman" w:cs="Times New Roman"/>
          <w:b/>
          <w:color w:val="auto"/>
          <w:highlight w:val="yellow"/>
          <w:lang w:eastAsia="ro-RO"/>
        </w:rPr>
      </w:pPr>
      <w:bookmarkStart w:id="44" w:name="_Toc84584826"/>
      <w:r w:rsidRPr="00250C7F">
        <w:rPr>
          <w:rFonts w:ascii="Times New Roman" w:hAnsi="Times New Roman" w:cs="Times New Roman"/>
          <w:b/>
          <w:color w:val="auto"/>
        </w:rPr>
        <w:t>2</w:t>
      </w:r>
      <w:r w:rsidR="000B27D4" w:rsidRPr="00250C7F">
        <w:rPr>
          <w:rFonts w:ascii="Times New Roman" w:hAnsi="Times New Roman" w:cs="Times New Roman"/>
          <w:b/>
          <w:color w:val="auto"/>
        </w:rPr>
        <w:t>.</w:t>
      </w:r>
      <w:r w:rsidRPr="00250C7F">
        <w:t xml:space="preserve"> </w:t>
      </w:r>
      <w:r w:rsidRPr="00250C7F">
        <w:rPr>
          <w:rFonts w:ascii="Times New Roman" w:hAnsi="Times New Roman" w:cs="Times New Roman"/>
          <w:b/>
          <w:color w:val="auto"/>
        </w:rPr>
        <w:t>Decesul părţii intervenit după închiderea dezbaterilor dar înainte de pronunţarea hotărârii. Valabilitatea actului de procedură. Incidenţa dispoziţiilor art. 412 alin. (2)  din Codul de procedură civilă</w:t>
      </w:r>
      <w:bookmarkEnd w:id="44"/>
    </w:p>
    <w:p w14:paraId="5E4697BD" w14:textId="77777777" w:rsidR="000B27D4" w:rsidRPr="00250C7F" w:rsidRDefault="000B27D4" w:rsidP="000303CA">
      <w:pPr>
        <w:spacing w:after="0" w:line="240" w:lineRule="auto"/>
        <w:jc w:val="both"/>
        <w:rPr>
          <w:rFonts w:ascii="Times New Roman" w:eastAsia="Times New Roman" w:hAnsi="Times New Roman" w:cs="Times New Roman"/>
          <w:sz w:val="24"/>
          <w:szCs w:val="24"/>
          <w:highlight w:val="yellow"/>
          <w:lang w:eastAsia="ro-RO"/>
        </w:rPr>
      </w:pPr>
    </w:p>
    <w:p w14:paraId="41717DB5" w14:textId="77777777" w:rsidR="00D45366" w:rsidRPr="00250C7F" w:rsidRDefault="00D45366" w:rsidP="000303CA">
      <w:pPr>
        <w:autoSpaceDE w:val="0"/>
        <w:autoSpaceDN w:val="0"/>
        <w:adjustRightInd w:val="0"/>
        <w:spacing w:after="0" w:line="240" w:lineRule="auto"/>
        <w:jc w:val="right"/>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C.proc.civ., art. 32 alin. (1) pct. 1, art. 56, art. 176 alin. (1) pct. 1, </w:t>
      </w:r>
    </w:p>
    <w:p w14:paraId="39F07121" w14:textId="77777777" w:rsidR="00D45366" w:rsidRPr="00250C7F" w:rsidRDefault="00D45366" w:rsidP="000303CA">
      <w:pPr>
        <w:autoSpaceDE w:val="0"/>
        <w:autoSpaceDN w:val="0"/>
        <w:adjustRightInd w:val="0"/>
        <w:spacing w:after="0" w:line="240" w:lineRule="auto"/>
        <w:jc w:val="right"/>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art. 177 alin. (3), art. 412 alin. (2)</w:t>
      </w:r>
    </w:p>
    <w:p w14:paraId="5830D9CD" w14:textId="77777777" w:rsidR="00D45366" w:rsidRPr="00250C7F" w:rsidRDefault="00D45366" w:rsidP="000303CA">
      <w:pPr>
        <w:autoSpaceDE w:val="0"/>
        <w:autoSpaceDN w:val="0"/>
        <w:adjustRightInd w:val="0"/>
        <w:spacing w:after="0" w:line="240" w:lineRule="auto"/>
        <w:jc w:val="right"/>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                                                                                       C.civ., art. 35</w:t>
      </w:r>
    </w:p>
    <w:p w14:paraId="65206D01" w14:textId="77777777" w:rsidR="00D45366" w:rsidRPr="00250C7F" w:rsidRDefault="00D45366" w:rsidP="00D45366">
      <w:pPr>
        <w:autoSpaceDE w:val="0"/>
        <w:autoSpaceDN w:val="0"/>
        <w:adjustRightInd w:val="0"/>
        <w:spacing w:after="0" w:line="276" w:lineRule="auto"/>
        <w:jc w:val="both"/>
        <w:rPr>
          <w:rFonts w:ascii="Times New Roman" w:eastAsia="Times New Roman" w:hAnsi="Times New Roman" w:cs="Times New Roman"/>
          <w:sz w:val="24"/>
          <w:szCs w:val="24"/>
          <w:lang w:eastAsia="ro-RO"/>
        </w:rPr>
      </w:pPr>
    </w:p>
    <w:p w14:paraId="2802AFE8" w14:textId="77777777" w:rsidR="00D45366" w:rsidRPr="00250C7F" w:rsidRDefault="00D45366" w:rsidP="00D45366">
      <w:pPr>
        <w:widowControl w:val="0"/>
        <w:autoSpaceDE w:val="0"/>
        <w:autoSpaceDN w:val="0"/>
        <w:adjustRightInd w:val="0"/>
        <w:spacing w:after="0" w:line="276" w:lineRule="auto"/>
        <w:jc w:val="both"/>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i/>
          <w:iCs/>
          <w:sz w:val="24"/>
          <w:szCs w:val="24"/>
          <w:lang w:eastAsia="ro-RO"/>
        </w:rPr>
        <w:t xml:space="preserve">           </w:t>
      </w:r>
      <w:bookmarkStart w:id="45" w:name="_Hlk81297082"/>
      <w:r w:rsidRPr="00250C7F">
        <w:rPr>
          <w:rFonts w:ascii="Times New Roman" w:eastAsia="Times New Roman" w:hAnsi="Times New Roman" w:cs="Times New Roman"/>
          <w:i/>
          <w:iCs/>
          <w:sz w:val="24"/>
          <w:szCs w:val="24"/>
          <w:lang w:eastAsia="ro-RO"/>
        </w:rPr>
        <w:t>În conformitate cu prevederile art. 32 alin. (1) pct. 1 din Codul de procedură civilă,</w:t>
      </w: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i/>
          <w:sz w:val="24"/>
          <w:szCs w:val="24"/>
          <w:lang w:eastAsia="ro-RO"/>
        </w:rPr>
        <w:t xml:space="preserve">capacitatea procesuală este o condiţie de exercitare a acţiunii civile. Lipsa capacităţii procesuale de folosinţă atrage nulitatea actului de procedură îndeplinit de o persoană fără capacitate procesuală de folosinţă sau în contradictoriu cu o persoană fără capacitate procesuală de </w:t>
      </w:r>
      <w:r w:rsidRPr="00250C7F">
        <w:rPr>
          <w:rFonts w:ascii="Times New Roman" w:eastAsia="Times New Roman" w:hAnsi="Times New Roman" w:cs="Times New Roman"/>
          <w:i/>
          <w:sz w:val="24"/>
          <w:szCs w:val="24"/>
          <w:lang w:eastAsia="ro-RO"/>
        </w:rPr>
        <w:lastRenderedPageBreak/>
        <w:t xml:space="preserve">folosinţă, nulitate necondiţionată de existenţa vreunei vătămări, aşa cum rezultă din interpretarea art. 176 alin. (1) pct. 1 din Codul de procedură civilă. </w:t>
      </w:r>
    </w:p>
    <w:p w14:paraId="0A232A61"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i/>
          <w:sz w:val="24"/>
          <w:szCs w:val="24"/>
          <w:lang w:eastAsia="ro-RO"/>
        </w:rPr>
        <w:t>În consecinţă, dacă partea a decedat pe parcursul cercetării judecătoreşti, dar anterior închiderii  dezbaterilor, şi acest lucru nu a fost adus la cunoştinţa instanţei, hotărârea este nulă absolut.</w:t>
      </w:r>
    </w:p>
    <w:p w14:paraId="021D8F94"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i/>
          <w:sz w:val="24"/>
          <w:szCs w:val="24"/>
          <w:lang w:eastAsia="ro-RO"/>
        </w:rPr>
        <w:t>Prin excepție de la regula anterior menționată, ipoteza reglementată prin art. 412 alin. (2) din Codul de procedură civilă, şi anume cazul în care decesul uneia dintre părţi a intervenit după închiderea dezbaterilor, nu împiedică pronunţarea hotărârii și nici nu generează în sarcina judecătorului cauzei obligaţia de a repune cauza pe rol în vederea introducerii în cauză a moştenitorilor. În acest caz, hotărârea pronunţată faţă de partea decedată nu este lovită de nulitate absolută.</w:t>
      </w:r>
    </w:p>
    <w:p w14:paraId="4319C70E"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i/>
          <w:sz w:val="24"/>
          <w:szCs w:val="24"/>
          <w:lang w:eastAsia="ro-RO"/>
        </w:rPr>
      </w:pPr>
      <w:r w:rsidRPr="00250C7F">
        <w:rPr>
          <w:rFonts w:ascii="Times New Roman" w:eastAsia="Times New Roman" w:hAnsi="Times New Roman" w:cs="Times New Roman"/>
          <w:i/>
          <w:sz w:val="24"/>
          <w:szCs w:val="24"/>
          <w:lang w:eastAsia="ro-RO"/>
        </w:rPr>
        <w:t>O atare opțiune legislativă este, de altfel, consecventă cu cea a regimului  juridic general al nulității, din interpretarea dispozițiilor art. 177 alin. (3) din Codul de procedură civilă rezultând că această sancțiune procesuală își găsește aplicare ca ultim remediu, nulitatea neîndeplinind exclusiv o funcție sancționatoare, ci scopul urmărit de legiuitor este înlăturarea oricărui formalism inutil în aplicarea acestei instituţii juridice şi salvarea actului procedural atunci când acest lucru este posibil și în măsura în care este posibil. În cazul în care partea era în viaţă la data când au fost închise dezbaterile, nu se pune problema încălcării principiului contradictorialităţii sau al dreptului la apărare, întrucât aceasta a avut posibilitatea să se apere, formulând concluzii asupra excepţiilor invocate, respectiv asupra probelor administrate şi asupra fondului cauzei.</w:t>
      </w:r>
    </w:p>
    <w:bookmarkEnd w:id="45"/>
    <w:p w14:paraId="4EF636F5"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i/>
          <w:sz w:val="24"/>
          <w:szCs w:val="24"/>
          <w:lang w:eastAsia="ro-RO"/>
        </w:rPr>
      </w:pPr>
    </w:p>
    <w:p w14:paraId="56A741CC" w14:textId="77777777" w:rsidR="00D45366" w:rsidRPr="00250C7F" w:rsidRDefault="00D45366" w:rsidP="00D45366">
      <w:pPr>
        <w:spacing w:after="0" w:line="276" w:lineRule="auto"/>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I.C.C.J., Secţia I civilă, decizia nr. 1009 din 12 mai 2021</w:t>
      </w:r>
    </w:p>
    <w:p w14:paraId="6994256B" w14:textId="77777777" w:rsidR="00D45366" w:rsidRPr="00250C7F" w:rsidRDefault="00D45366" w:rsidP="00D45366">
      <w:pPr>
        <w:spacing w:after="0" w:line="276" w:lineRule="auto"/>
        <w:rPr>
          <w:rFonts w:ascii="Times New Roman" w:eastAsia="Times New Roman" w:hAnsi="Times New Roman" w:cs="Times New Roman"/>
          <w:sz w:val="24"/>
          <w:szCs w:val="24"/>
          <w:lang w:eastAsia="ro-RO"/>
        </w:rPr>
      </w:pPr>
    </w:p>
    <w:p w14:paraId="736C72CD"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I. Circumstanţele cauzei.</w:t>
      </w:r>
    </w:p>
    <w:p w14:paraId="227D291F" w14:textId="78EECBAA" w:rsidR="00D45366" w:rsidRPr="00250C7F" w:rsidRDefault="00D45366" w:rsidP="00D45366">
      <w:pPr>
        <w:spacing w:after="0" w:line="276" w:lineRule="auto"/>
        <w:ind w:firstLine="708"/>
        <w:contextualSpacing/>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 xml:space="preserve">1. Obiectul cererii de chemare în judecată. </w:t>
      </w:r>
    </w:p>
    <w:p w14:paraId="369F4D79"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cererea înregistrată pe rolul Tribunalului Bucureşti-Secţia a III-a civilă, din data de 13.07.2016, reclamanta A. a solicitat, în contradictoriu cu pârâţii B. şi C., rezilierea contractului autentificat cu nr. 2020 din 18.11.2009 de Biroul Notarilor Publici Asociaţi X., având ca obiect transmiterea nudei proprietăţi a apartamentului nr. 1, situat în Bucureşti, precum şi repunerea părţilor în situaţia anterioară încheierii contractului.</w:t>
      </w:r>
    </w:p>
    <w:p w14:paraId="186BF22D"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întâmpinare pârâţii-reclamanţi au solicitat respingerea cererii de chemare în judecată, ca neîntemeiată.</w:t>
      </w:r>
    </w:p>
    <w:p w14:paraId="00366C50"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 Prin cererea reconvenţională, pârâţii-reclamanţi au solicitat transformarea obligaţiei de întreţinere în bani; în subsidiar, în cazul admiterii acţiunii introductive, au solicitat obligarea reclamantei la plata sumei de 45.352,62 lei. </w:t>
      </w:r>
    </w:p>
    <w:p w14:paraId="42E5E2DF" w14:textId="7C082B18" w:rsidR="00D45366" w:rsidRPr="00250C7F" w:rsidRDefault="00D45366" w:rsidP="00D45366">
      <w:pPr>
        <w:spacing w:after="0" w:line="276" w:lineRule="auto"/>
        <w:ind w:firstLine="708"/>
        <w:contextualSpacing/>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2. Hotărârea pronunţată în primă instanţă.</w:t>
      </w:r>
    </w:p>
    <w:p w14:paraId="083D6C7E"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Prin sentinţa civilă nr. 642 din 2.04.2018, Tribunalul Bucureşti - Secţia a III-a civilă a respins cererea de chemare în judecată formulată de reclamanta-pârâtă A., în contradictoriu cu pârâţii-reclamanţi B. şi C., ca neîntemeiată; a admis cererea reconvenţională formulată de pârâţii-reclamanţi B. şi C., în contradictoriu cu reclamanta-pârâtă A., a dispus transformarea obligaţiei de întreţinere în natură asumată de către pârâţii-reclamanţi faţă de reclamanta-pârâtă, prin contractul de întreţinere autentificat sub nr. 2020/2009, de Biroul Notarilor Publici Asociaţi X., într-o obligaţie de întreţinere prin echivalent bănesc, constând în plata unei sume lunare în cuantum de </w:t>
      </w:r>
      <w:r w:rsidRPr="00250C7F">
        <w:rPr>
          <w:rFonts w:ascii="Times New Roman" w:eastAsia="Times New Roman" w:hAnsi="Times New Roman" w:cs="Times New Roman"/>
          <w:sz w:val="24"/>
          <w:szCs w:val="24"/>
          <w:lang w:eastAsia="ro-RO"/>
        </w:rPr>
        <w:lastRenderedPageBreak/>
        <w:t>1.000 lei, de către pârâţii-reclamanţi în favoarea reclamantei-pârâte, începând cu data de 9.09.2016 (data introducerii cererii reconvenţionale), până la sfârşitul vieţii reclamantei-pârâte; a fost obligată reclamanta-pârâtă la plata sumei de 2.400 lei, cu titlu de cheltuieli de judecată către pârâţii-reclamanţi, reprezentând onorariu de avocat.</w:t>
      </w:r>
    </w:p>
    <w:p w14:paraId="3777D9B8" w14:textId="54BB04E7" w:rsidR="00D45366" w:rsidRPr="00250C7F" w:rsidRDefault="00D45366" w:rsidP="00D45366">
      <w:pPr>
        <w:spacing w:after="0" w:line="276" w:lineRule="auto"/>
        <w:ind w:firstLine="708"/>
        <w:contextualSpacing/>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 xml:space="preserve">3. Hotărârea pronunţată în apel. </w:t>
      </w:r>
    </w:p>
    <w:p w14:paraId="0BE82750"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Prin </w:t>
      </w:r>
      <w:r w:rsidRPr="00250C7F">
        <w:rPr>
          <w:rFonts w:ascii="Times New Roman" w:eastAsia="Times New Roman" w:hAnsi="Times New Roman" w:cs="Times New Roman"/>
          <w:iCs/>
          <w:sz w:val="24"/>
          <w:szCs w:val="24"/>
          <w:lang w:eastAsia="ro-RO"/>
        </w:rPr>
        <w:t xml:space="preserve">decizia civilă nr. 1890A din 2.12.2019, pronunţată de Curtea de Apel Bucureşti </w:t>
      </w: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iCs/>
          <w:sz w:val="24"/>
          <w:szCs w:val="24"/>
          <w:lang w:eastAsia="ro-RO"/>
        </w:rPr>
        <w:t xml:space="preserve">Secţia a IV-a civilă, </w:t>
      </w:r>
      <w:r w:rsidRPr="00250C7F">
        <w:rPr>
          <w:rFonts w:ascii="Times New Roman" w:eastAsia="Times New Roman" w:hAnsi="Times New Roman" w:cs="Times New Roman"/>
          <w:sz w:val="24"/>
          <w:szCs w:val="24"/>
          <w:lang w:eastAsia="ro-RO"/>
        </w:rPr>
        <w:t>a fost respins, ca nefondat, apelul declarat de apelanta-reclamantă-pârâtă A. împotriva sentinţei civile nr. 642/2018, pronunţată de Tribunalul Bucureşti - Secţia a III-a civilă, în contradictoriu cu intimaţii pârâţi-reclamanţi B. şi C.</w:t>
      </w:r>
    </w:p>
    <w:p w14:paraId="6438D5C4"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Prin </w:t>
      </w:r>
      <w:r w:rsidRPr="00250C7F">
        <w:rPr>
          <w:rFonts w:ascii="Times New Roman" w:eastAsia="Times New Roman" w:hAnsi="Times New Roman" w:cs="Times New Roman"/>
          <w:iCs/>
          <w:sz w:val="24"/>
          <w:szCs w:val="24"/>
          <w:lang w:eastAsia="ro-RO"/>
        </w:rPr>
        <w:t xml:space="preserve">decizia civilă nr.422A din 2.06.2020, pronunţată de Curtea de Apel Bucureşti </w:t>
      </w: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iCs/>
          <w:sz w:val="24"/>
          <w:szCs w:val="24"/>
          <w:lang w:eastAsia="ro-RO"/>
        </w:rPr>
        <w:t xml:space="preserve">Secţia a IV-a civilă, </w:t>
      </w:r>
      <w:r w:rsidRPr="00250C7F">
        <w:rPr>
          <w:rFonts w:ascii="Times New Roman" w:eastAsia="Times New Roman" w:hAnsi="Times New Roman" w:cs="Times New Roman"/>
          <w:sz w:val="24"/>
          <w:szCs w:val="24"/>
          <w:lang w:eastAsia="ro-RO"/>
        </w:rPr>
        <w:t>a fost admisă cererea de completare a deciziei civile nr. 1890/2019, pronunţată de Curtea de Apel Bucureşti - Secţia a IV-a civilă, în cauza având ca obiect reziliere contract, formulată de intimata-pârâtă-reclamantă C., în contradictoriu cu apelanta reclamantă-pârâtă D., moştenitoarea apelantei reclamante-pârâte A., şi cu intimatul B.; a fost completată decizia civilă nr. 1890/2019, pronunţată de Curtea de Apel Bucureşti - Secţia a IV-a civilă, în sensul că a fost obligată apelanta reclamantă-pârâtă D. la plata sumei de 5.548,97 lei, reprezentând cheltuieli de judecată, către intimata-pârâtă-reclamantă C.</w:t>
      </w:r>
    </w:p>
    <w:p w14:paraId="736DB8C3" w14:textId="58D74145" w:rsidR="00D45366" w:rsidRPr="00250C7F" w:rsidRDefault="00D45366" w:rsidP="00D45366">
      <w:pPr>
        <w:spacing w:after="0" w:line="276" w:lineRule="auto"/>
        <w:ind w:firstLine="708"/>
        <w:contextualSpacing/>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 xml:space="preserve"> 4. Calea de atac formulată în cauză.</w:t>
      </w:r>
    </w:p>
    <w:p w14:paraId="5355F4A5" w14:textId="77777777" w:rsidR="00D45366" w:rsidRPr="00250C7F" w:rsidRDefault="00D45366" w:rsidP="00D45366">
      <w:pPr>
        <w:spacing w:after="0" w:line="276" w:lineRule="auto"/>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b/>
          <w:sz w:val="24"/>
          <w:szCs w:val="24"/>
          <w:lang w:eastAsia="ro-RO"/>
        </w:rPr>
        <w:tab/>
      </w:r>
      <w:r w:rsidRPr="00250C7F">
        <w:rPr>
          <w:rFonts w:ascii="Times New Roman" w:eastAsia="Times New Roman" w:hAnsi="Times New Roman" w:cs="Times New Roman"/>
          <w:sz w:val="24"/>
          <w:szCs w:val="24"/>
          <w:lang w:eastAsia="ro-RO"/>
        </w:rPr>
        <w:t>Împotriva deciziei civile nr. 1890A/2019 şi a deciziei civile nr. 422A/2020, ambele pronunţate de Curtea de Apel Bucureşti - Secţia a IV-a civilă, a formulat recurs reclamanta-pârâtă D.</w:t>
      </w:r>
    </w:p>
    <w:p w14:paraId="239735AF" w14:textId="77777777" w:rsidR="00D45366" w:rsidRPr="00250C7F" w:rsidRDefault="00D45366" w:rsidP="00D45366">
      <w:pPr>
        <w:spacing w:after="0" w:line="276" w:lineRule="auto"/>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sz w:val="24"/>
          <w:szCs w:val="24"/>
          <w:lang w:eastAsia="ro-RO"/>
        </w:rPr>
        <w:tab/>
      </w:r>
      <w:r w:rsidRPr="00250C7F">
        <w:rPr>
          <w:rFonts w:ascii="Times New Roman" w:eastAsia="Times New Roman" w:hAnsi="Times New Roman" w:cs="Times New Roman"/>
          <w:iCs/>
          <w:sz w:val="24"/>
          <w:szCs w:val="24"/>
          <w:lang w:eastAsia="ro-RO"/>
        </w:rPr>
        <w:t>Prin recursul formulat împotriva deciziei civile nr. 1890A/2019, pronunţată de Curtea de Apel Bucureşti-Secţia a IV-a civilă,</w:t>
      </w:r>
      <w:r w:rsidRPr="00250C7F">
        <w:rPr>
          <w:rFonts w:ascii="Times New Roman" w:eastAsia="Times New Roman" w:hAnsi="Times New Roman" w:cs="Times New Roman"/>
          <w:i/>
          <w:iCs/>
          <w:sz w:val="24"/>
          <w:szCs w:val="24"/>
          <w:lang w:eastAsia="ro-RO"/>
        </w:rPr>
        <w:t xml:space="preserve"> </w:t>
      </w:r>
      <w:r w:rsidRPr="00250C7F">
        <w:rPr>
          <w:rFonts w:ascii="Times New Roman" w:eastAsia="Times New Roman" w:hAnsi="Times New Roman" w:cs="Times New Roman"/>
          <w:sz w:val="24"/>
          <w:szCs w:val="24"/>
          <w:lang w:eastAsia="ro-RO"/>
        </w:rPr>
        <w:t>recurenta D., succesoarea reclamantei-pârâte A., conform certificatului de legatar nr. 5 din 30.01.2020, eliberat de Biroul Individual Notarial Y., a solicitat admiterea recursului, constatarea nulităţii necondiţionate a deciziei recurate, întrucât a fost pronunţată faţă de o persoană fără capacitate procesuală de folosinţă, în condiţiile art. 176 Cod procedură civilă, casarea deciziei şi trimiterea cauzei, spre rejudecare, Curţii de Apel Bucureşti. În subsidiar, a solicitat să se constate că hotărârea atacată este nelegală, fiind dată cu interpretarea şi aplicarea greşită a normelor de drept material, motiv de casare prevăzut de art.488 pct. 8 Cod procedură civilă.</w:t>
      </w:r>
    </w:p>
    <w:p w14:paraId="7AF348F2" w14:textId="77777777" w:rsidR="00D45366" w:rsidRPr="00250C7F" w:rsidRDefault="00D45366" w:rsidP="00D45366">
      <w:pPr>
        <w:spacing w:after="0" w:line="276" w:lineRule="auto"/>
        <w:ind w:firstLine="851"/>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motivarea cererii de recurs, recurenta a învederat că reclamanta A. a decedat la 29.11.2019, astfel cum reiese din certificatul de deces anexat cererii de recurs.</w:t>
      </w:r>
    </w:p>
    <w:p w14:paraId="62426BF7" w14:textId="77777777" w:rsidR="00D45366" w:rsidRPr="00250C7F" w:rsidRDefault="00D45366" w:rsidP="00D45366">
      <w:pPr>
        <w:spacing w:after="0" w:line="276" w:lineRule="auto"/>
        <w:ind w:firstLine="851"/>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urmare, la data pronunţării deciziei nr. 1890A din 2.12.2019 reclamanta A. nu mai avea capacitate de folosinţă, fiind incidente dispoziţiile art. 176 Cod procedura civilă, decizia fiind lovită de nulitate.</w:t>
      </w:r>
    </w:p>
    <w:p w14:paraId="2934CCE8" w14:textId="77777777" w:rsidR="00D45366" w:rsidRPr="00250C7F" w:rsidRDefault="00D45366" w:rsidP="00D45366">
      <w:pPr>
        <w:spacing w:after="0" w:line="276" w:lineRule="auto"/>
        <w:ind w:firstLine="851"/>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subsidiar, în măsura în care instanţa de recurs va trece peste acest motiv de nulitate a deciziei civile nr. 1890A/2019, recurenta a solicitat să se constate că decizia a fost pronunţată cu interpretarea si aplicarea greşită a normelor de drept material, fiind incident motivul de casare prevăzut de art. 488 pct. 8 Cod procedură civilă.</w:t>
      </w:r>
    </w:p>
    <w:p w14:paraId="69A5A284" w14:textId="77777777" w:rsidR="00D45366" w:rsidRPr="00250C7F" w:rsidRDefault="00D45366" w:rsidP="00D45366">
      <w:pPr>
        <w:spacing w:after="0" w:line="276" w:lineRule="auto"/>
        <w:ind w:firstLine="851"/>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Astfel, în opinia recurentei, instanţa de apel nu a avut în vedere caracterele juridice ale contractului de întreţinere, respectiv că este un contract sinalagmatic şi cu executare succesivă, iar obligaţia de întreţinere născută în sarcina pârâţilor era o obligaţie care trebuia îndeplinită zilnic, fără întrerupere şi corespunzător nevoilor şi vârstei reclamantei, fiind fără relevanţă că aceştia şi-au îndeplinit sau nu obligaţia în perioada 2009 - decembrie 2015; prin cererea de chemare în </w:t>
      </w:r>
      <w:r w:rsidRPr="00250C7F">
        <w:rPr>
          <w:rFonts w:ascii="Times New Roman" w:eastAsia="Times New Roman" w:hAnsi="Times New Roman" w:cs="Times New Roman"/>
          <w:sz w:val="24"/>
          <w:szCs w:val="24"/>
          <w:lang w:eastAsia="ro-RO"/>
        </w:rPr>
        <w:lastRenderedPageBreak/>
        <w:t>judecată, reclamanta a susţinut că pârâţii nu şi-au îndeplinit obligaţia de întreţinere în perioada decembrie 2015 - iunie 2016, aceasta fiind perioada pe care instanţa trebuia să o analizeze sub aspectul îndeplinirii obligaţiei.</w:t>
      </w:r>
    </w:p>
    <w:p w14:paraId="125891AD" w14:textId="77777777" w:rsidR="00D45366" w:rsidRPr="00250C7F" w:rsidRDefault="00D45366" w:rsidP="00D45366">
      <w:pPr>
        <w:spacing w:after="0" w:line="276" w:lineRule="auto"/>
        <w:ind w:firstLine="851"/>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acest  sens, recurenta a prezentat consideraţii cu privire la modul în care instanţa de apel a apreciat probatoriul administrat în cauză, respectiv declaraţiile martorilor şi  proba cu interogatoriu.</w:t>
      </w:r>
    </w:p>
    <w:p w14:paraId="6AD946A7"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Astfel, făcând referire la depoziţiile martorilor E. şi F., recurenta a susţinut că acestea dovedesc că pârâţii nu si-au îndeplinit obligaţia de întreţinere în perioada menţionată, prin urmare acestea erau relevante. De asemenea, a invocat că instanţa de apel, în mod tendenţios şi părtinitor, a apreciat depoziţia martorei G., respectiv că declaraţiile reclamantei la interogatoriu nu au făcut referire la executarea obligaţiei de întreţinere în ceea ce priveşte asistenţa medicală, spitalizarea şi tratamentul reclamantei şi nici la conduita pârâţilor ulterioară externării reclamantei -perioadă  de timp în care aceasta a fost lăsată în frig şi fără alimente, respectiv că au fost  apreciate greşit probatoriile atât în privinţa reparaţiei centralei (apreciind recurenta că pârâţii nu au luat nicio măsură pentru repararea acesteia nici în decembrie 2015 şi nici în perioada care a urmat), cât şi în privinţa faptului că reclamanta nu a lăsat vreodată gazul aprins, astfel că nu  exista o stare de pericol. </w:t>
      </w:r>
    </w:p>
    <w:p w14:paraId="2C786656"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 opinia recurentei, obligaţia de întreţinere nu a fost executată corespunzător vârstei şi nevoilor reclamantei în perioada decembrie 2015- iunie 2016 şi în acest sens, trebuia să aprecieze instanța devolutivă din analiza probelor administrate în faza judecării fondului.</w:t>
      </w:r>
    </w:p>
    <w:p w14:paraId="21FAB9DA"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Precizând că în ceea ce priveşte caracterul aleatoriu al contractului de întreținere acesta rezidă atât din durata incertă de viață a creditorului întreţinerii, cât şi a fluctuaţiei nevoilor acestuia (starea acestuia de sănătate, evoluţia costului vieţii, precum şi alte asemenea elemente), recurenta susţine că, în speţă, s-a ignorat faptul că începând cu decembrie 2015 nevoile autoarei sale au crescut (atât cele privind îngrijirea sănătăţii, cât şi cele privind starea ei generală, care după accident s-a deteriorat).</w:t>
      </w:r>
    </w:p>
    <w:p w14:paraId="2AB8940C"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 același sens, a susținut că pârâţii nu i-au remis niciodată autoarei  sale sume de bani, fapt recunoscut şi de aceştia la interogatoriu, respectiv că, un alt aspect relevant asupra căruia instanţa de apel a omis să se pronunţe este declaraţia martorei propuse de reclamantă din care a reieşit ca pârâţii mergeau cu cardul şi luau reţete, iar nu medicamente, în sensul că se prezentau la medicul de familie, fără reclamantă, aceasta atestând nereal că a consultat-o pe  reclamantă, care în mod evident nu a suferit de Alzheimer.</w:t>
      </w:r>
    </w:p>
    <w:p w14:paraId="06145E83" w14:textId="77777777" w:rsidR="00D45366" w:rsidRPr="00250C7F" w:rsidRDefault="00D45366" w:rsidP="00D45366">
      <w:pPr>
        <w:spacing w:after="0" w:line="276" w:lineRule="auto"/>
        <w:ind w:firstLine="851"/>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iCs/>
          <w:sz w:val="24"/>
          <w:szCs w:val="24"/>
          <w:lang w:eastAsia="ro-RO"/>
        </w:rPr>
        <w:t>Prin recursul formulat împotriva deciziei civile nr. 422 A/2020, pronunţată de Curtea de Apel Bucureşti-Secţia a IV-a civilă,</w:t>
      </w:r>
      <w:r w:rsidRPr="00250C7F">
        <w:rPr>
          <w:rFonts w:ascii="Times New Roman" w:eastAsia="Times New Roman" w:hAnsi="Times New Roman" w:cs="Times New Roman"/>
          <w:i/>
          <w:iCs/>
          <w:sz w:val="24"/>
          <w:szCs w:val="24"/>
          <w:lang w:eastAsia="ro-RO"/>
        </w:rPr>
        <w:t xml:space="preserve"> </w:t>
      </w:r>
      <w:r w:rsidRPr="00250C7F">
        <w:rPr>
          <w:rFonts w:ascii="Times New Roman" w:eastAsia="Times New Roman" w:hAnsi="Times New Roman" w:cs="Times New Roman"/>
          <w:sz w:val="24"/>
          <w:szCs w:val="24"/>
          <w:lang w:eastAsia="ro-RO"/>
        </w:rPr>
        <w:t>recurenta a solicitat admiterea recursului şi reducerea corespunzătoare a cheltuielilor de judecată pentru faza apelului, având în vedere disproporţia vădită între efortul depus de avocat şi cuantumul acestora.</w:t>
      </w:r>
    </w:p>
    <w:p w14:paraId="567A8C5F" w14:textId="77777777" w:rsidR="00D45366" w:rsidRPr="00250C7F" w:rsidRDefault="00D45366" w:rsidP="00D45366">
      <w:pPr>
        <w:spacing w:after="0" w:line="276" w:lineRule="auto"/>
        <w:ind w:firstLine="851"/>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motivare, recurenta a arătat că reprezentantul convenţional al pârâţilor a fost prezent la doar trei termene de judecată în faţa instanţei de apel, nefiind puse în discuţie alte chestiuni decât cele dezbătute deja la fondul cauzei.</w:t>
      </w:r>
    </w:p>
    <w:p w14:paraId="36680EF9" w14:textId="77777777" w:rsidR="00D45366" w:rsidRPr="00250C7F" w:rsidRDefault="00D45366" w:rsidP="00D45366">
      <w:pPr>
        <w:spacing w:after="0" w:line="276" w:lineRule="auto"/>
        <w:ind w:firstLine="851"/>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urmare, recurenta a opinat că suma de 5548,97 lei, reprezentând cheltuielile de judecată, nu este justificată şi nu reprezintă o valoare rezonabilă în raport de efortul depus.</w:t>
      </w:r>
    </w:p>
    <w:p w14:paraId="511346F7" w14:textId="0684791C" w:rsidR="00D45366" w:rsidRPr="00250C7F" w:rsidRDefault="00D45366" w:rsidP="00D45366">
      <w:pPr>
        <w:tabs>
          <w:tab w:val="left" w:pos="567"/>
        </w:tabs>
        <w:spacing w:after="0" w:line="276" w:lineRule="auto"/>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ab/>
        <w:t xml:space="preserve">    5. Apărările formulate în cauză</w:t>
      </w:r>
    </w:p>
    <w:p w14:paraId="6B9649C5" w14:textId="77777777" w:rsidR="00D45366" w:rsidRPr="00250C7F" w:rsidRDefault="00D45366" w:rsidP="00D45366">
      <w:pPr>
        <w:spacing w:after="0" w:line="276" w:lineRule="auto"/>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b/>
          <w:sz w:val="24"/>
          <w:szCs w:val="24"/>
          <w:lang w:eastAsia="ro-RO"/>
        </w:rPr>
        <w:tab/>
      </w:r>
      <w:r w:rsidRPr="00250C7F">
        <w:rPr>
          <w:rFonts w:ascii="Times New Roman" w:eastAsia="Times New Roman" w:hAnsi="Times New Roman" w:cs="Times New Roman"/>
          <w:sz w:val="24"/>
          <w:szCs w:val="24"/>
          <w:lang w:eastAsia="ro-RO"/>
        </w:rPr>
        <w:t>La data de 28.08.2020, intimaţii au transmis întâmpinare, la recursurile formulate de recurenta D.</w:t>
      </w:r>
    </w:p>
    <w:p w14:paraId="7F98F4D0"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lastRenderedPageBreak/>
        <w:t>Cu privire la recursul declarat împotriva deciziei civile nr. 1890A/2019, pronunţată de Curtea de Apel Bucureşti-Secţia a IV-a civilă, în ceea ce priveşte primul motiv de recurs, au arătat că este nefondat, pentru că reclamanta A. a decedat la 28.11.2019, însă instanţa a rămas în pronunţare la 18.11.2019, când a amânat pronunţarea la 2.12.2019.</w:t>
      </w:r>
    </w:p>
    <w:p w14:paraId="29F4BF48"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ceea ce priveşte cel de-al doilea motiv de recurs, circumscris de recurentă motivului de casare prevăzut de art. 488 pct. 8 Cod procedură civilă, intimaţii au învederat că recurenta nu a indicat normele de drept material interpretate şi aplicate greşit de către instanţa de apel, ci motivele de recurs vizează exclusiv probatoriul şi interpretarea dată probelor de instanţă.</w:t>
      </w:r>
    </w:p>
    <w:p w14:paraId="2D5B0067" w14:textId="2326ECB5"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În aceste condiţii, intimaţii au solicitat respingerea recursului, ca inadmisibil, deoarece criticile nu pot fi încadrate în prevederile art.488 alin.(1) pct.1-8 Cod procedură civilă, sancţiunea fiind anularea recursului; în limitele în care recursul excede factual memoriului de apel, intimaţii au apreciat că este inadmisibil, fiind exercitat </w:t>
      </w:r>
      <w:r w:rsidRPr="00250C7F">
        <w:rPr>
          <w:rFonts w:ascii="Times New Roman" w:eastAsia="Times New Roman" w:hAnsi="Times New Roman" w:cs="Times New Roman"/>
          <w:i/>
          <w:iCs/>
          <w:sz w:val="24"/>
          <w:szCs w:val="24"/>
          <w:lang w:eastAsia="ro-RO"/>
        </w:rPr>
        <w:t>omisso medio</w:t>
      </w:r>
      <w:r w:rsidRPr="00250C7F">
        <w:rPr>
          <w:rFonts w:ascii="Times New Roman" w:eastAsia="Times New Roman" w:hAnsi="Times New Roman" w:cs="Times New Roman"/>
          <w:sz w:val="24"/>
          <w:szCs w:val="24"/>
          <w:lang w:eastAsia="ro-RO"/>
        </w:rPr>
        <w:t>.</w:t>
      </w:r>
    </w:p>
    <w:p w14:paraId="172B41B1"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Cu privire la recursul declarat împotriva deciziei civile nr. 422A/2020, pronunţată de Curtea de Apel Bucureşti-Secţia a IV-a civilă, intimaţii au solicitat respingerea, ca inadmisibil, întrucât nu se încadrează în prevederile art.488 alin.(1) pct.1-8 Cod procedură civilă, sancţiunea fiind anularea recursului potrivit art. 489 alin. (2) Cod procedură civilă.</w:t>
      </w:r>
    </w:p>
    <w:p w14:paraId="7183E7B5"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b/>
          <w:sz w:val="24"/>
          <w:szCs w:val="24"/>
          <w:lang w:eastAsia="ro-RO"/>
        </w:rPr>
        <w:t>6. Procedura de filtru.</w:t>
      </w:r>
    </w:p>
    <w:p w14:paraId="6C5D04BC" w14:textId="77777777" w:rsidR="00D45366" w:rsidRPr="00250C7F" w:rsidRDefault="00D45366" w:rsidP="00D45366">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Prin încheierea din 17.03.2021, completul de filtru a admis în principiu recursul declarat de recurenta D. împotriva deciziei civile nr. 1890A/2019, pronunţată de Curtea de Apel Bucureşti – Secţia a IV-a civilă, a stabilit termen de judecată în şedinţă publică, la data de 12.05.2021, cu citarea părţilor.</w:t>
      </w:r>
    </w:p>
    <w:p w14:paraId="478B9569" w14:textId="77777777" w:rsidR="00D45366" w:rsidRPr="00250C7F" w:rsidRDefault="00D45366" w:rsidP="00D45366">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În ceea ce priveşte încadrarea în motivele de casare prevăzute de art. 488 alin. (1) Cod procedură civilă a criticilor formulate de către recurentă  împotriva deciziei civile nr. 1890A/2019, pronunţată de Curtea de Apel Bucureşti – Secţia a IV-a civilă, Înalta Curte a  constatat că pot fi subsumate motivului de nelegalitate prevăzut de dispozițiile art. 488 alin. 1 pct. 5 din Codul de procedură civilă, criticile privitoare la nulitatea deciziei derivate din pronunţarea acesteia în contradictoriu cu o persoană decedată, celelalte critici vizând exclusiv aspecte de temeinicie a hotărârii.</w:t>
      </w:r>
    </w:p>
    <w:p w14:paraId="50EFB363"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aceeaşi încheiere, Înalta Curte a anulat recursul declarat de recurenta D. împotriva deciziei civile nr. 422A/2020, pronunţată de Curtea de Apel Bucureşti – Secţia a IV-a civilă.</w:t>
      </w:r>
    </w:p>
    <w:p w14:paraId="16C1B96E"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considerarea caracterului definitiv al acestei încheieri, recursul  declarat  împotriva deciziei civile nr. 422A/2020, pronunţată de Curtea de Apel Bucureşti – Secţia a IV-a civilă nu mai constituie obiect al prezentei  analize.</w:t>
      </w:r>
      <w:r w:rsidRPr="00250C7F">
        <w:rPr>
          <w:rFonts w:ascii="Times New Roman" w:eastAsia="Times New Roman" w:hAnsi="Times New Roman" w:cs="Times New Roman"/>
          <w:b/>
          <w:sz w:val="24"/>
          <w:szCs w:val="24"/>
          <w:lang w:eastAsia="ro-RO"/>
        </w:rPr>
        <w:tab/>
      </w:r>
    </w:p>
    <w:p w14:paraId="20F369FC" w14:textId="77777777" w:rsidR="00D45366" w:rsidRPr="00250C7F" w:rsidRDefault="00D45366" w:rsidP="00D45366">
      <w:pPr>
        <w:spacing w:after="0" w:line="276" w:lineRule="auto"/>
        <w:ind w:firstLine="708"/>
        <w:contextualSpacing/>
        <w:jc w:val="both"/>
        <w:rPr>
          <w:rFonts w:ascii="Times New Roman" w:eastAsia="Times New Roman" w:hAnsi="Times New Roman" w:cs="Times New Roman"/>
          <w:b/>
          <w:sz w:val="24"/>
          <w:szCs w:val="24"/>
          <w:lang w:eastAsia="ro-RO"/>
        </w:rPr>
      </w:pPr>
      <w:r w:rsidRPr="00250C7F">
        <w:rPr>
          <w:rFonts w:ascii="Times New Roman" w:eastAsia="Times New Roman" w:hAnsi="Times New Roman" w:cs="Times New Roman"/>
          <w:b/>
          <w:sz w:val="24"/>
          <w:szCs w:val="24"/>
          <w:lang w:eastAsia="ro-RO"/>
        </w:rPr>
        <w:t>II. Soluţia şi considerentele Înaltei Curţi de Casaţie şi Justiţie în ceea ce priveşte recursul declarat de recurenta D. împotriva deciziei civile nr. 1890A din 2.12.2019, pronunţată de Curtea de Apel Bucureşti – Secţia a IV-a civilă.</w:t>
      </w:r>
    </w:p>
    <w:p w14:paraId="3535A4CA"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Examinând decizia recurată, prin prisma criticilor formulate şi prin raportare la actele şi lucrările dosarului şi la dispoziţiile legale aplicabile, Înalta Curte constată următoarele:</w:t>
      </w:r>
    </w:p>
    <w:p w14:paraId="65FFB4B8"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lang w:eastAsia="ro-RO"/>
        </w:rPr>
        <w:t xml:space="preserve">Prin demersul judiciar declanșat în cauză, autoarea recurentei </w:t>
      </w:r>
      <w:r w:rsidRPr="00250C7F">
        <w:rPr>
          <w:rFonts w:ascii="Times New Roman" w:eastAsia="Times New Roman" w:hAnsi="Times New Roman" w:cs="Times New Roman"/>
          <w:sz w:val="24"/>
          <w:szCs w:val="24"/>
        </w:rPr>
        <w:t xml:space="preserve">A., </w:t>
      </w:r>
      <w:r w:rsidRPr="00250C7F">
        <w:rPr>
          <w:rFonts w:ascii="Times New Roman" w:eastAsia="Times New Roman" w:hAnsi="Times New Roman" w:cs="Times New Roman"/>
          <w:sz w:val="24"/>
          <w:szCs w:val="24"/>
          <w:lang w:eastAsia="ro-RO"/>
        </w:rPr>
        <w:t xml:space="preserve">a solicitat instanţei, în esență, </w:t>
      </w:r>
      <w:r w:rsidRPr="00250C7F">
        <w:rPr>
          <w:rFonts w:ascii="Times New Roman" w:eastAsia="Times New Roman" w:hAnsi="Times New Roman" w:cs="Times New Roman"/>
          <w:sz w:val="24"/>
          <w:szCs w:val="24"/>
        </w:rPr>
        <w:t>rezilierea contractului autentificat cu nr. 2020 din 18.11.2009 de Biroul Notarilor Publici Asociaţi X., având ca obiect transmiterea nudei proprietăţi a apartamentului nr. 1, situat în Bucureşti, precum şi repunerea părţilor în situaţia anterioară încheierii contractului.</w:t>
      </w:r>
    </w:p>
    <w:p w14:paraId="1DC4E0CB"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w:t>
      </w:r>
      <w:r w:rsidRPr="00250C7F">
        <w:rPr>
          <w:rFonts w:ascii="Times New Roman" w:eastAsia="Times New Roman" w:hAnsi="Times New Roman" w:cs="Times New Roman"/>
          <w:i/>
          <w:sz w:val="24"/>
          <w:szCs w:val="24"/>
        </w:rPr>
        <w:t xml:space="preserve">Subsumat motivului de recurs întemeiat pe prevederile art. 488 pct. 8  din Codul de procedură  civilă, </w:t>
      </w:r>
      <w:r w:rsidRPr="00250C7F">
        <w:rPr>
          <w:rFonts w:ascii="Times New Roman" w:eastAsia="Times New Roman" w:hAnsi="Times New Roman" w:cs="Times New Roman"/>
          <w:sz w:val="24"/>
          <w:szCs w:val="24"/>
        </w:rPr>
        <w:t xml:space="preserve">recurenta a susținut că instanța de apel a omis, în analiza sa, caracteristicile </w:t>
      </w:r>
      <w:r w:rsidRPr="00250C7F">
        <w:rPr>
          <w:rFonts w:ascii="Times New Roman" w:eastAsia="Times New Roman" w:hAnsi="Times New Roman" w:cs="Times New Roman"/>
          <w:sz w:val="24"/>
          <w:szCs w:val="24"/>
        </w:rPr>
        <w:lastRenderedPageBreak/>
        <w:t xml:space="preserve">contractului de întreținere, respectiv caracterul sinalagmatic şi cu executare succesivă al acestuia, în contextul în care, ceea ce s-a invocat în prezenta cauză vizează neîndeplinirea obligației de întreținere în perioada decembrie 2015-iunie 2016, respectiv că această obligație de întreținere născută în baza contractului în sarcina pârâților intimați trebuia îndeplinită regulat, zilnic, cu consecința că afirmațiile pârâților la interogatoriu sau ale martorilor propuși de aceștia pentru perioada 2009- 2015 sunt fără valoare juridică. </w:t>
      </w:r>
    </w:p>
    <w:p w14:paraId="24F09F71"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Prin argumentele formulate, recurenta a pretins, în esenţă, că în speţă, instanţa de apel  a procedat  la o  eronată  evaluare a declaraţiilor martorilor audiaţi, susţinând că acestea dovedesc că pârâţii nu si-au îndeplinit obligaţia de întreţinere în perioada menţionată, respectiv că această instanţă, în mod tendenţios şi părtinitor, a apreciat depoziţia martorilor audiaţi  la propunerea sa.</w:t>
      </w:r>
    </w:p>
    <w:p w14:paraId="3E2187C5"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De asemenea, precizând că în ceea ce priveşte caracterul aleatoriu al contractului de întreținere acesta rezidă atât din durata incertă de viață a creditorului întreţinerii, cât şi a fluctuaţiei nevoilor acestuia (starea acestuia de sănătate, evoluţia costului vieţii, precum şi alte asemenea elemente), recurenta susţine că, în speţă, s-a ignorat faptul că, începând cu decembrie 2015, nevoile autoarei sale au crescut (atât cele privind îngrijirea sănătăţii, cât şi cele privind starea ei generală, care după accident s-a deteriorat), respectiv faptul că pârâţii nu s-au preocupat de achiziţionarea de medicamente, iar diagnosticarea autoarei sale cu maladia Alzheimer a fost realizată fictiv.</w:t>
      </w:r>
    </w:p>
    <w:p w14:paraId="2762629D"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Raportându-se la aceste argumente, subsumate motivului de casare prevăzut de art. 488 pct. 8 din Codul de procedură  civilă, Înalta Curte reține că prin decizia civilă nr. 1890A/2019, pronunţată de Curtea de Apel Bucureşti – Secţia a IV-a Civilă, instanţa de apel a verificat modalitatea în care prima instanţă a realizat analiza tuturor probelor încuviinţate părţilor litigante, constatând că aprecierea declaraţiilor martorilor şi a interogatoriilor părţilor a fost realizată corect prin sentința apelată, în contextul în care obiectul analizei îl constituiau actele de executare a contractului de întreţinere din perioada 2009 – 2016, în decizia recurată fiind expuse considerentele care au justificat, în aprecierea instanţei de prim control judiciar, înlăturarea depoziţiilor martorilor audiaţi la propunerea reclamantei, E. şi F. </w:t>
      </w:r>
    </w:p>
    <w:p w14:paraId="046DF6E8"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De asemenea, instanţa de apel a analizat criticile din apel prin care apelanta reclamantă a susținut că prima instanţă nu a reţinut în mod greşit neîndeplinirea obligaţiei de întreţinere, reţinând, în esenţă, că, pentru a fi admisibilă rezoluţiunea, este necesar ca neexecutarea să fie imputabilă părţii care nu şi-a îndeplinit obligația, iar probatoriul administrat nu relevă  neîndeplinirea culpabilă a obligației  de întreținere în perioada decembrie 2015 –  vara anului 2016.</w:t>
      </w:r>
    </w:p>
    <w:p w14:paraId="09A5DBE8" w14:textId="77777777" w:rsidR="00D45366" w:rsidRPr="00250C7F" w:rsidRDefault="00D45366" w:rsidP="00D45366">
      <w:pPr>
        <w:widowControl w:val="0"/>
        <w:autoSpaceDE w:val="0"/>
        <w:autoSpaceDN w:val="0"/>
        <w:adjustRightInd w:val="0"/>
        <w:spacing w:after="0" w:line="276" w:lineRule="auto"/>
        <w:ind w:firstLine="705"/>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 acest context, s-a reţinut că reclamanta a promovat, ulterior prezentei cereri, o acţiune având ca obiect anularea contractului de întreţinere autentificat sub nr. 2020/2009 la Biroul Notarilor Publici Asociaţi X. în care a invocat lipsa totală a consimţământului şi dolul, cererea fiind înregistrată pe rolul Tribunalului Bucureşti, Secţia a IV-a Civilă, la data de 19.04.2017, cerere respinsă prin sentinţa civilă nr. 890 din 16.04.2018.</w:t>
      </w:r>
    </w:p>
    <w:p w14:paraId="3AF1FA8B" w14:textId="77777777" w:rsidR="00D45366" w:rsidRPr="00250C7F" w:rsidRDefault="00D45366" w:rsidP="00D45366">
      <w:pPr>
        <w:spacing w:after="0" w:line="276" w:lineRule="auto"/>
        <w:ind w:firstLine="624"/>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Având în vedere cele anterior relevate, Înalta Curte constată că aprecierea făcută de instanţa de apel relativ la neîndeplinirea de către pârâţi a obligaţiei de întreţinere este rezultatul judecăţii devolutive care s-a realizat prin prisma motivelor de apel, astfel cum această judecată se impunea a se realiza în conformitate cu prevederile art. 477 alin. 1 şi art. 479 alin. 1 din C.pr.civ.  În apel au fost reevaluate probele şi situaţia de fapt stabilită de prima instanţă, urmarea acestei reevaluări fiind constatarea corectitudinii aplicării dispoziţiilor legale relative la rezoluțiunea contractelor </w:t>
      </w:r>
      <w:r w:rsidRPr="00250C7F">
        <w:rPr>
          <w:rFonts w:ascii="Times New Roman" w:eastAsia="Times New Roman" w:hAnsi="Times New Roman" w:cs="Times New Roman"/>
          <w:sz w:val="24"/>
          <w:szCs w:val="24"/>
          <w:lang w:eastAsia="ro-RO"/>
        </w:rPr>
        <w:lastRenderedPageBreak/>
        <w:t>reprezentate de art. 1020-1021 din Codul civil de la 1864. Având în vedere acest context procesual în care s-a realizat judecata în etapa apelului, Înalta Curte reţine că aplicarea prevederilor art.1020- 1021 din Codul civil a constituit temeiul juridic al respingerii cererii de rezoluțiune formulată de reclamantă, dar numai fiind pus în relaţie cu cadrul factual ce a fost prealabil verificat pe baza criticilor formulate prin cererile de apel şi a reanalizării în mod corespunzător a materialului probator.</w:t>
      </w:r>
    </w:p>
    <w:p w14:paraId="7025873A" w14:textId="2753A4D0" w:rsidR="00D45366" w:rsidRPr="00250C7F" w:rsidRDefault="00D45366" w:rsidP="00D45366">
      <w:pPr>
        <w:spacing w:after="0" w:line="276" w:lineRule="auto"/>
        <w:ind w:firstLine="624"/>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Altfel spus, instanţa de apel nu a constatat existenţa condiţiilor necesare pentru  a opera rezoluţiunea contractului de întreținere exclusiv pe baza conținutului abstract al normei juridice menționate, ci a analizat criticile formulate de apelanta reclamantă şi probele, stabilind în baza acestora o situaţie de fapt în privinţa căreia a apreciat că nu îşi găsesc aplicare prevederile art. 1020-1021 din Codul civil.</w:t>
      </w:r>
    </w:p>
    <w:p w14:paraId="6AC1A904" w14:textId="77777777" w:rsidR="00D45366" w:rsidRPr="00250C7F" w:rsidRDefault="00D45366" w:rsidP="00D45366">
      <w:pPr>
        <w:spacing w:after="0" w:line="276" w:lineRule="auto"/>
        <w:ind w:firstLine="567"/>
        <w:contextualSpacing/>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iCs/>
          <w:sz w:val="24"/>
          <w:szCs w:val="24"/>
          <w:lang w:eastAsia="ro-RO"/>
        </w:rPr>
        <w:t xml:space="preserve">Din cele ce preced, rezultă, așadar, că nu se poate pretinde că instanţa de apel nu a valorificat sau că ar fi ignorat probatoriul administrat în condiții de contradictorialitate sau natura obligației de întreținere asumată de pârâți, în realitate, </w:t>
      </w:r>
      <w:r w:rsidRPr="00250C7F">
        <w:rPr>
          <w:rFonts w:ascii="Times New Roman" w:eastAsia="Times New Roman" w:hAnsi="Times New Roman" w:cs="Times New Roman"/>
          <w:sz w:val="24"/>
          <w:szCs w:val="24"/>
          <w:lang w:eastAsia="ro-RO"/>
        </w:rPr>
        <w:t>lecturarea cererii de recurs relevând, cu evidență, că aspectele reiterate de recurentă  - cum sunt cele privind modul în care instanţa de apel a apreciat probatoriul administrat în cauză şi a analizat îndeplinirea de către pârâţi a obligaţiei de întreţinere, reprezintă aspecte ce vizezează netemeinicia deciziei  recurate.</w:t>
      </w:r>
    </w:p>
    <w:p w14:paraId="227DDC7E"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acest context, Înalta Curte subliniază că, în actuala reglementare, Codul de procedură civilă consacră în mod expres, în dispozițiile art. 483 alin. 3 Cod procedură civilă (recursul urmărește să supună Înaltei Curți de Casație și Justiție examinarea, în condițiile legii, a conformității hotărârii atacate cu regulile de drept aplicabile), natura recursului de a fi o cale de atac exclusiv de legalitate, iar nu de netemeinicie.</w:t>
      </w:r>
    </w:p>
    <w:p w14:paraId="51807FAD" w14:textId="77777777" w:rsidR="00D45366" w:rsidRPr="00250C7F" w:rsidRDefault="00D45366" w:rsidP="00D45366">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sz w:val="24"/>
          <w:szCs w:val="24"/>
          <w:lang w:eastAsia="ro-RO"/>
        </w:rPr>
        <w:tab/>
        <w:t>Or, raportat la coordonatele analizei de legalitate a recursului, stabilirea pe baza probatoriului administrat a situaţiei de fapt este în căderea exclusivă a instanţelor fondului, atribuţia instanţei de recurs fiind de cenzurare doar sub aspectul legalităţii a judecăţilor anterioare.</w:t>
      </w:r>
    </w:p>
    <w:p w14:paraId="49AEE8A3" w14:textId="77777777" w:rsidR="00D45366" w:rsidRPr="00250C7F" w:rsidRDefault="00D45366" w:rsidP="00D45366">
      <w:pPr>
        <w:spacing w:after="0" w:line="276" w:lineRule="auto"/>
        <w:ind w:firstLine="624"/>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Astfel, reiese cu evidenţă, din cuprinsul art. 265 alin. 2 din Codul de procedură civilă, că regula este aceea că aprecierea probelor constituie un atribut al instanţelor de fond; în plus, probele la care recurenta face referire nu sunt unele cărora legea să le fi atribuit o anumită forţă doveditoare, astfel că evaluarea lor se circumscrie regulii menţionate, consecinţa fiind aceea că nu pot forma obiect al unei noi analize (evaluări) în cadrul recursului pendinte.</w:t>
      </w:r>
    </w:p>
    <w:p w14:paraId="15272D98" w14:textId="11CDA093" w:rsidR="00D45366" w:rsidRPr="00250C7F" w:rsidRDefault="00D45366" w:rsidP="00100420">
      <w:pPr>
        <w:spacing w:after="0" w:line="276" w:lineRule="auto"/>
        <w:ind w:firstLine="624"/>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Se cuvine a fi observat, deopotrivă, că, în faţa instanţei de apel, a constituit obiect al dezbaterilor contradictorii caracterul subiectiv al declaraţiilor martorilor audiaţi la propunerea părților litigante, iar critica astfel formulată a fost analizată şi găsită neîntemeiată. De altfel, nici cu privire la analiza astfel realizată </w:t>
      </w:r>
      <w:r w:rsidR="00100420" w:rsidRPr="00250C7F">
        <w:rPr>
          <w:rFonts w:ascii="Times New Roman" w:eastAsia="Times New Roman" w:hAnsi="Times New Roman" w:cs="Times New Roman"/>
          <w:sz w:val="24"/>
          <w:szCs w:val="24"/>
          <w:lang w:eastAsia="ro-RO"/>
        </w:rPr>
        <w:t xml:space="preserve">nu s-a invocat vreo critică de </w:t>
      </w:r>
      <w:r w:rsidRPr="00250C7F">
        <w:rPr>
          <w:rFonts w:ascii="Times New Roman" w:eastAsia="Times New Roman" w:hAnsi="Times New Roman" w:cs="Times New Roman"/>
          <w:sz w:val="24"/>
          <w:szCs w:val="24"/>
          <w:lang w:eastAsia="ro-RO"/>
        </w:rPr>
        <w:t>nelegalitate aptă a permite o evaluare prin prisma dispoziţiilor art. 488 din C.pr.civ.</w:t>
      </w:r>
    </w:p>
    <w:p w14:paraId="1B0CE934" w14:textId="0C9B8A20" w:rsidR="00D45366" w:rsidRPr="00250C7F" w:rsidRDefault="00D45366" w:rsidP="00D45366">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 xml:space="preserve">În acelaşi  timp, pretinzând că instanţa de apel ar fi  trebuit să  verifice îndeplinirea </w:t>
      </w:r>
      <w:r w:rsidR="00100420" w:rsidRPr="00250C7F">
        <w:rPr>
          <w:rFonts w:ascii="Times New Roman" w:eastAsia="Times New Roman" w:hAnsi="Times New Roman" w:cs="Times New Roman"/>
          <w:sz w:val="24"/>
          <w:szCs w:val="24"/>
          <w:lang w:eastAsia="ro-RO"/>
        </w:rPr>
        <w:t xml:space="preserve">obligaţiei </w:t>
      </w:r>
      <w:r w:rsidRPr="00250C7F">
        <w:rPr>
          <w:rFonts w:ascii="Times New Roman" w:eastAsia="Times New Roman" w:hAnsi="Times New Roman" w:cs="Times New Roman"/>
          <w:sz w:val="24"/>
          <w:szCs w:val="24"/>
          <w:lang w:eastAsia="ro-RO"/>
        </w:rPr>
        <w:t>de întreţinere în perioada decembrie 2015-iunie 2016, recurenta ignoră raţionamentul expus de către instanţa de apel care, distingând, în mod judicios, între efectele contractului întreţinere care, în speță, a dat naștere, în sarcina pârâților a obligației de a presta întreținere în folosul autoarei reclamantei și modalitatea de executare a obligației de întreținere asumată de pârâți prin acest contract, a apreciat că îndeplinirea obligației de întreținere presupune verificarea conduitei părților contractante în perioada 2009-2016.</w:t>
      </w:r>
    </w:p>
    <w:p w14:paraId="595B2038"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De altfel, raționamentul instanței de prim control judiciar expus în considerentele deciziei criticate în prezentul recurs relevă preocuparea acestei instanțe de a verifica, prin prisma </w:t>
      </w:r>
      <w:r w:rsidRPr="00250C7F">
        <w:rPr>
          <w:rFonts w:ascii="Times New Roman" w:eastAsia="Times New Roman" w:hAnsi="Times New Roman" w:cs="Times New Roman"/>
          <w:sz w:val="24"/>
          <w:szCs w:val="24"/>
          <w:lang w:eastAsia="ro-RO"/>
        </w:rPr>
        <w:lastRenderedPageBreak/>
        <w:t xml:space="preserve">probatoriului administrat, executarea obligației de întreținere inclusiv în intervalul de timp menționat în cererea de recurs, respectiv, în perioada ulterioară lunii decembrie 2015, context în care, nemulțumirea recurentei în privința modalității în care instanța devolutivă a procedat la aprecierea probatoriilor, fără ca aceasta să argumenteze incidența unei ipoteze de aplicare eronată a unor norme legale, constituie, așa cum s-a argumentat deja în cele ce preced, un aspect de netemeinicie, care însă  excedează  controlului  de legalitate ce poate fi  realizat  în recurs. </w:t>
      </w:r>
    </w:p>
    <w:p w14:paraId="17EFE441"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În plus, deşi recurenta pretinde ignorarea de către instanţa de apel  a caracterelor obligaţiei de întreţinere asumate de pârâţi, argumentele expuse de către aceasta nu tind la a  evidenţia o situaţie de încălcare a unor norme de drept material, în realitate, susţinerile din recurs tinzând la o reevaluare a situaţiei  de fapt. </w:t>
      </w:r>
    </w:p>
    <w:p w14:paraId="69145845"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Or, calea de atac a recursului este o cale extraordinară de atac de reformare în care se verifică modul în care se aplică legea la o situaţie de fapt deplin stabilită în fazele procesuale anterioare care, având caracter devolutiv, permit administrarea tuturor probelor necesare pentru a fi conturată pe deplin situaţia de fapt. De aceea, împrejurările de fapt ale cauzei nu pot fi stabilite direct în recurs sau modificate prin reinterpretarea probatoriului administrat, astfel cum se doreşte de către recurentă.</w:t>
      </w:r>
    </w:p>
    <w:p w14:paraId="4C8B33EB" w14:textId="77777777" w:rsidR="00D45366" w:rsidRPr="00250C7F" w:rsidRDefault="00D45366" w:rsidP="00D45366">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sz w:val="24"/>
          <w:szCs w:val="24"/>
          <w:lang w:eastAsia="ro-RO"/>
        </w:rPr>
        <w:tab/>
        <w:t>În consecință, deși recurenta a pretins, în speță, incidența motivului de nelegalitate prevăzut de art. 488 pct. 8 din Codul de procedură civilă, susținerile acesteia, subsumate acestui motiv de recurs, nu au aptitudinea de a releva o ipoteză în care instanța de apel să fi aplicat eronat normele legale incidente cauzei, ci aspecte ce intră în sfera circumstanțelor factuale ale cauzei deduse judecății, incompatibile cu structura recursului și cu controlul de legalitate pe care instanța de recurs este îndrituită a-l exercita.</w:t>
      </w:r>
    </w:p>
    <w:p w14:paraId="1353AAF2"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Ca urmare, sub aspectul formal, al încadrării acestor critici în motivele de casare prevăzute de art.488 alin. 1 pct. 1-8 din Codul de procedură  civilă, se constată că recurenta nu s-a conformat exigenţelor procedurale impuse de art. 486 alin.1 lit. d) din Codul de procedură civilă în sarcina sa și a dedus judecăţii aspecte de netemeinicie, necenzurabile în această etapă procedurală,</w:t>
      </w:r>
      <w:r w:rsidRPr="00250C7F">
        <w:rPr>
          <w:rFonts w:ascii="Times New Roman" w:eastAsia="Times New Roman" w:hAnsi="Times New Roman" w:cs="Times New Roman"/>
          <w:sz w:val="24"/>
          <w:szCs w:val="24"/>
          <w:lang w:eastAsia="ro-RO"/>
        </w:rPr>
        <w:t xml:space="preserve"> această soluție regăsindu-se, de altfel, și în cuprinsul încheierii de admitere în principiu, pronunțată de Înalta Curte de Casație și Justiție  la data de 17.03.021.</w:t>
      </w:r>
    </w:p>
    <w:p w14:paraId="0BD1C0F6"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i/>
          <w:iCs/>
          <w:sz w:val="24"/>
          <w:szCs w:val="24"/>
          <w:lang w:eastAsia="ro-RO"/>
        </w:rPr>
      </w:pPr>
      <w:r w:rsidRPr="00250C7F">
        <w:rPr>
          <w:rFonts w:ascii="Times New Roman" w:eastAsia="Times New Roman" w:hAnsi="Times New Roman" w:cs="Times New Roman"/>
          <w:i/>
          <w:iCs/>
          <w:sz w:val="24"/>
          <w:szCs w:val="24"/>
          <w:lang w:eastAsia="ro-RO"/>
        </w:rPr>
        <w:t>În ceea ce privește motivul de recurs prevăzut de art. 488 pct. 5 din Codul  de procedură civilă, Înalta Curte reține următoarele:</w:t>
      </w:r>
    </w:p>
    <w:p w14:paraId="08E455F1" w14:textId="77777777" w:rsidR="00D45366" w:rsidRPr="00250C7F" w:rsidRDefault="00D45366" w:rsidP="00D45366">
      <w:pPr>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Potrivit art. 488 pct.5 din Codul de procedură civilă: „Casarea unor hotărâri se poate cere numai pentru următoarele motive de nelegalitate:.... când, prin hotărârea dată, instanţa a încălcat regulile de procedură a căror nerespectare atrage sancţiunea nulităţii”.</w:t>
      </w:r>
    </w:p>
    <w:p w14:paraId="3AC1B759"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speţa de faţă, nulitatea hotărârii instanţei de apel a fost invocată de către recurenta-reclamantă în faza procesuală a recursului, în considerarea dispoziţiilor  art. 176 coroborat cu art.56 alin. 3 şi art. 247 alin. 1 din Codul de procedură civilă prin raportare la capacitatea procesuală de folosinţă a părţilor în litigiu, excepţia lipsei capacităţii de folosinţă fiind o excepţie de fond, absolută şi peremptorie.</w:t>
      </w:r>
    </w:p>
    <w:p w14:paraId="34A39F09"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Conform dispoziţiilor art. 56 alin. 1 din Codul de procedură civilă poate să fie parte în judecată orice persoană care are folosinţa drepturilor civile, iar potrivit dispoziţiilor art.35 din Codul civil aprobat prin Legea nr.287/2009 ( în vigoare la data formulării acţiunii civile în cauză), în cazul persoanelor fizice, capacitatea de folosinţă începe la naşterea lor şi încetează la moartea acestora.</w:t>
      </w:r>
    </w:p>
    <w:p w14:paraId="0418DD9C" w14:textId="4ED08003" w:rsidR="00D45366" w:rsidRPr="00250C7F" w:rsidRDefault="00D507F7"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Astfel, </w:t>
      </w:r>
      <w:r w:rsidR="00D45366" w:rsidRPr="00250C7F">
        <w:rPr>
          <w:rFonts w:ascii="Times New Roman" w:eastAsia="Times New Roman" w:hAnsi="Times New Roman" w:cs="Times New Roman"/>
          <w:sz w:val="24"/>
          <w:szCs w:val="24"/>
          <w:lang w:eastAsia="ro-RO"/>
        </w:rPr>
        <w:t xml:space="preserve">capacitatea procesuală de folosinţă, constând în aptitudinea unei persoane de a avea </w:t>
      </w:r>
      <w:r w:rsidR="00D45366" w:rsidRPr="00250C7F">
        <w:rPr>
          <w:rFonts w:ascii="Times New Roman" w:eastAsia="Times New Roman" w:hAnsi="Times New Roman" w:cs="Times New Roman"/>
          <w:sz w:val="24"/>
          <w:szCs w:val="24"/>
          <w:lang w:eastAsia="ro-RO"/>
        </w:rPr>
        <w:lastRenderedPageBreak/>
        <w:t>drepturi şi obligaţii pe plan procesual, reprezintă aplicarea în plan procesual a capacităţii civile şi presupune ca partea să fie în viaţă pe tot parcursul procesului.</w:t>
      </w:r>
    </w:p>
    <w:p w14:paraId="48FA6C22"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Interpretarea sistematică a acestor norme impune concluzia că această  condiție de  exerciţiu a dreptului la acţiune trebuie să subziste pe tot parcursul procesului. </w:t>
      </w:r>
      <w:r w:rsidRPr="00250C7F">
        <w:rPr>
          <w:rFonts w:ascii="Times New Roman" w:eastAsia="Times New Roman" w:hAnsi="Times New Roman" w:cs="Times New Roman"/>
          <w:color w:val="222222"/>
          <w:sz w:val="24"/>
          <w:szCs w:val="24"/>
          <w:shd w:val="clear" w:color="auto" w:fill="FFFFFF"/>
        </w:rPr>
        <w:t>Acesta întrucât scopul procesului civil este recunoaşterea dreptului subiectiv sau al altei situaţii juridice deduse judecăţii</w:t>
      </w:r>
      <w:bookmarkStart w:id="46" w:name="_ftnref15"/>
      <w:r w:rsidRPr="00250C7F">
        <w:rPr>
          <w:rFonts w:ascii="Times New Roman" w:eastAsia="Times New Roman" w:hAnsi="Times New Roman" w:cs="Times New Roman"/>
          <w:sz w:val="24"/>
          <w:szCs w:val="24"/>
        </w:rPr>
        <w:fldChar w:fldCharType="begin"/>
      </w:r>
      <w:r w:rsidRPr="00250C7F">
        <w:rPr>
          <w:rFonts w:ascii="Times New Roman" w:eastAsia="Times New Roman" w:hAnsi="Times New Roman" w:cs="Times New Roman"/>
          <w:sz w:val="24"/>
          <w:szCs w:val="24"/>
        </w:rPr>
        <w:instrText xml:space="preserve"> HYPERLINK "https://www.juridice.ro/648101/scurte-consideratii-despre-suspendarea-judecarii-cauzelor-prin-decesul-uneia-dintre-parti-pana-la-introducerea-in-cauza-a-mostenitorilor.html" \l "_ftn15" </w:instrText>
      </w:r>
      <w:r w:rsidRPr="00250C7F">
        <w:rPr>
          <w:rFonts w:ascii="Times New Roman" w:eastAsia="Times New Roman" w:hAnsi="Times New Roman" w:cs="Times New Roman"/>
          <w:sz w:val="24"/>
          <w:szCs w:val="24"/>
        </w:rPr>
        <w:fldChar w:fldCharType="end"/>
      </w:r>
      <w:bookmarkEnd w:id="46"/>
      <w:r w:rsidRPr="00250C7F">
        <w:rPr>
          <w:rFonts w:ascii="Times New Roman" w:eastAsia="Times New Roman" w:hAnsi="Times New Roman" w:cs="Times New Roman"/>
          <w:color w:val="222222"/>
          <w:sz w:val="24"/>
          <w:szCs w:val="24"/>
          <w:shd w:val="clear" w:color="auto" w:fill="FFFFFF"/>
        </w:rPr>
        <w:t>, iar desfăşurarea raţională şi eficientă a judecăţii presupune ca protecţia astfel acordată de organul jurisdicţional prin recunoaşterea ori realizarea dreptului subiectiv sau a interesului legal protejat să producă un folos părţii care a avut câştig de cauză, în sensul ca dispoziţia instanţei să poată fi pusă cu succes în executare de bună voie sau, în caz de opoziţie, cu concursul forţei coercitive a statului.</w:t>
      </w:r>
    </w:p>
    <w:p w14:paraId="4A13329C" w14:textId="5BFF4523"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Deoarece, în conformitate cu  prevederile art. 32 alin. 1 pct. 1 din Codul  de procedură civilă, capacitatea procesuală este o condiţie de exercitare a acţiunii  civile, lipsa capacităţii procesuale de folosinţă atrage nulitatea actului de procedură îndeplinite de o  persoană  fără  capacitate procesuală  de folosinţă sau în contradictoriu  cu  o  persoană  fără capacitate procesuală de folosinţă, nulitate necondiţionată de existenţa vreunei vătămări, aşa cum rezultă din interpretarea art. 176 alin. 1 pct. 1 din Codul de procedură civilă. </w:t>
      </w:r>
    </w:p>
    <w:p w14:paraId="5D8977D7"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Cu toate acestea, legea procesuală instituie, prin art. 412 alin. (2) din Codul  de procedură civilă, o excepţie de la această regulă, şi anume situaţia în care partea decedează după închiderea dezbaterilor, stipulând: „Cu toate acestea, faptele prevăzute la alin. (1) nu împiedică pronunţarea hotărârii, dacă ele au survenit după închiderea dezbaterilor”.</w:t>
      </w:r>
    </w:p>
    <w:p w14:paraId="7DC765E4"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Aşa cum s-a statuat, de altfel, şi pe cale doctrinară, din reglementarea acestei excepţii rezultă că scopul urmărit de legiuitor prin reglementarea nulităţii pentru lipsa capacităţii de folosinţă este salvgardarea unor principii fundamentale ale procesului civil - cel al contradictorialităţii şi al dreptului la apărare.</w:t>
      </w:r>
    </w:p>
    <w:p w14:paraId="659CE685"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consecinţă, dacă parte a decedat pe parcursul cercetării judecătoreşti,  dar anterior închiderii  dezbaterilor,  şi acest lucru nu a fost adus la cunoştinţa instanţei, hotărârea este nulă absolut.</w:t>
      </w:r>
    </w:p>
    <w:p w14:paraId="4F445E8C"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excepție de la regula anterior menționată, ipoteza reglementată prin art. 412 alin. 2 din Codul de procedură civilă, în care decesul uneia dintre părţi a intervenit după închiderea dezbaterilor, nu împiedică pronunţarea hotărârii și nici nu generează în sarcina judecătorului cauzei obligaţia de a repune cauza pe rol în vederea introducerii în cauză a moştenitorilor. În acest caz, hotărârea pronunţată faţă de partea decedată nu este lovită de nulitate absolută.</w:t>
      </w:r>
    </w:p>
    <w:p w14:paraId="0CEBFFB9"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O atare opțiune legislativă este, de altfel, consecventă cu cea a regimului  juridic general al  nulității, din interpretarea dispozițiilor art. 177 alin. (3) din Codul de procedură civilă rezultând că această sancțiune procesuală își găsește aplicare ca ultim remediu, nulitatea neândeplinind exclusiv o funcție sancționatoare, ci scopul urmărit de legiuitor este înlăturarea oricărui formalism inutil în aplicarea acestei instituţii juridice şi salvarea actului procedural atunci când acest lucru este posibil și în măsura în care este posibil.</w:t>
      </w:r>
    </w:p>
    <w:p w14:paraId="54BE0E09"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Or, în cazul în care partea era în viaţă la data când au fost închise dezbaterile, nu se pune problema încălcării celor două principii fundamentale ale procesului civil, anterior menționate, întrucât aceasta a avut posibilitatea să se apere, formulând concluzii asupra excepţiilor invocate, respectiv asupra probelor administrate şi asupra fondului cauzei.</w:t>
      </w:r>
    </w:p>
    <w:p w14:paraId="1A2D4118"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lang w:eastAsia="ro-RO"/>
        </w:rPr>
        <w:t xml:space="preserve">În speță, decesul autoarei recurentei, A., s-a produs la data de </w:t>
      </w:r>
      <w:r w:rsidRPr="00250C7F">
        <w:rPr>
          <w:rFonts w:ascii="Times New Roman" w:eastAsia="Times New Roman" w:hAnsi="Times New Roman" w:cs="Times New Roman"/>
          <w:sz w:val="24"/>
          <w:szCs w:val="24"/>
        </w:rPr>
        <w:t xml:space="preserve">28.11.2019, astfel  cum rezultă din certificatului de deces nr. 672371 din data de 02.12.2019, eliberat  de Consiliul  Local  </w:t>
      </w:r>
      <w:r w:rsidRPr="00250C7F">
        <w:rPr>
          <w:rFonts w:ascii="Times New Roman" w:eastAsia="Times New Roman" w:hAnsi="Times New Roman" w:cs="Times New Roman"/>
          <w:sz w:val="24"/>
          <w:szCs w:val="24"/>
        </w:rPr>
        <w:lastRenderedPageBreak/>
        <w:t>al  Sectorului  1  Bucureşti şi certificatul  de legatar nr. 5 din 30.01.2020, eliberat de Biroul Individual Notarial Y.</w:t>
      </w:r>
    </w:p>
    <w:p w14:paraId="5526F6AE"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Totodată, așa cum rezultă  din încheierea de sedință de la termenul  de judecată din data de 04.11.2019, dezbaterile au fost încheiate, în conformitate cu prevederile art.  394  coroborat cu  art. 482 din Codul  de procedură civilă,  la data de 4.11.2019 - termen la care părțile, inclusiv apelanta reclamantă A., reprezentată de apărătorul său, au formulat concluzii asupra apelului, cauza fiind reținută spre soluționare.</w:t>
      </w:r>
    </w:p>
    <w:p w14:paraId="52D25D8E" w14:textId="4C5B217E"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 Așadar, în speță, decesul apelantei reclamante a survenit ulterior închiderii dezbaterilor  în apel.</w:t>
      </w:r>
    </w:p>
    <w:p w14:paraId="6B5C0373"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Întrucât, în cauza de faţă, deși decesul apelantei reclamante s-a produs anterior datei pronunţării hotărârii recurate – 2.12.2019 – încetarea  capacităţii procesuale de folosinţă a acesteia a intervenit doar după închiderea dezbaterilor în apel, în speță, fiind incidentă situația de excepție prevăzută de art. </w:t>
      </w:r>
      <w:r w:rsidRPr="00250C7F">
        <w:rPr>
          <w:rFonts w:ascii="Times New Roman" w:eastAsia="Times New Roman" w:hAnsi="Times New Roman" w:cs="Times New Roman"/>
          <w:sz w:val="24"/>
          <w:szCs w:val="24"/>
          <w:lang w:eastAsia="ro-RO"/>
        </w:rPr>
        <w:t>412 alin. (2) din Codul de procedură  civilă</w:t>
      </w:r>
      <w:r w:rsidRPr="00250C7F">
        <w:rPr>
          <w:rFonts w:ascii="Times New Roman" w:eastAsia="Times New Roman" w:hAnsi="Times New Roman" w:cs="Times New Roman"/>
          <w:sz w:val="24"/>
          <w:szCs w:val="24"/>
        </w:rPr>
        <w:t xml:space="preserve">. </w:t>
      </w:r>
    </w:p>
    <w:p w14:paraId="43FD3E13" w14:textId="77777777" w:rsidR="00D45366" w:rsidRPr="00250C7F" w:rsidRDefault="00D45366" w:rsidP="00D4536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Pentru toate considerentele arătate, decizia recurată nu este lovită de nulitate absolută, motivul reglementat de art. 488 pct. 5 C.pr.civ. nefiind incident.</w:t>
      </w:r>
    </w:p>
    <w:p w14:paraId="79F268E2" w14:textId="4F47B2B5" w:rsidR="004A23F6" w:rsidRPr="00250C7F" w:rsidRDefault="00D45366" w:rsidP="00D45366">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ab/>
        <w:t xml:space="preserve"> Pentru aceste considerente,  reținând că nu este incident motivul de casare prevăzut de dispozițiile art.488 pct.5 din Codul proc.civilă, Înalta Curte a respins recursul ca nefondat.</w:t>
      </w:r>
    </w:p>
    <w:p w14:paraId="74369004" w14:textId="77777777" w:rsidR="00DD1F71" w:rsidRPr="00250C7F" w:rsidRDefault="00DD1F71" w:rsidP="00D45366">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o-RO"/>
        </w:rPr>
      </w:pPr>
    </w:p>
    <w:p w14:paraId="3BBF0C39" w14:textId="278B6B52" w:rsidR="004A23F6" w:rsidRPr="00250C7F" w:rsidRDefault="00100420" w:rsidP="00100420">
      <w:pPr>
        <w:pStyle w:val="Heading3"/>
        <w:spacing w:line="276" w:lineRule="auto"/>
        <w:jc w:val="both"/>
        <w:rPr>
          <w:rFonts w:ascii="Times New Roman" w:eastAsia="Times New Roman" w:hAnsi="Times New Roman" w:cs="Times New Roman"/>
          <w:b/>
          <w:bCs/>
          <w:color w:val="auto"/>
          <w:lang w:eastAsia="ro-RO"/>
        </w:rPr>
      </w:pPr>
      <w:bookmarkStart w:id="47" w:name="_Toc84584827"/>
      <w:r w:rsidRPr="00250C7F">
        <w:rPr>
          <w:rFonts w:ascii="Times New Roman" w:eastAsia="Times New Roman" w:hAnsi="Times New Roman" w:cs="Times New Roman"/>
          <w:b/>
          <w:bCs/>
          <w:color w:val="auto"/>
          <w:lang w:eastAsia="ro-RO"/>
        </w:rPr>
        <w:t>3</w:t>
      </w:r>
      <w:r w:rsidR="004A23F6" w:rsidRPr="00250C7F">
        <w:rPr>
          <w:rFonts w:ascii="Times New Roman" w:eastAsia="Times New Roman" w:hAnsi="Times New Roman" w:cs="Times New Roman"/>
          <w:b/>
          <w:bCs/>
          <w:color w:val="auto"/>
          <w:lang w:eastAsia="ro-RO"/>
        </w:rPr>
        <w:t>.</w:t>
      </w:r>
      <w:r w:rsidR="004A23F6" w:rsidRPr="00250C7F">
        <w:rPr>
          <w:rFonts w:ascii="Times New Roman" w:hAnsi="Times New Roman" w:cs="Times New Roman"/>
          <w:color w:val="auto"/>
        </w:rPr>
        <w:t xml:space="preserve"> </w:t>
      </w:r>
      <w:r w:rsidR="004A23F6" w:rsidRPr="00250C7F">
        <w:rPr>
          <w:rFonts w:ascii="Times New Roman" w:eastAsia="Times New Roman" w:hAnsi="Times New Roman" w:cs="Times New Roman"/>
          <w:b/>
          <w:bCs/>
          <w:color w:val="auto"/>
          <w:lang w:eastAsia="ro-RO"/>
        </w:rPr>
        <w:t>Soluţionarea cauzei în lipsa legalei citări a părţii. Vătămare procesuală. Încălcarea dreptului la un proces echitabil</w:t>
      </w:r>
      <w:bookmarkEnd w:id="47"/>
    </w:p>
    <w:p w14:paraId="024EB674" w14:textId="37FC6C0B" w:rsidR="004A23F6" w:rsidRPr="00250C7F" w:rsidRDefault="004A23F6" w:rsidP="004A23F6">
      <w:pPr>
        <w:widowControl w:val="0"/>
        <w:autoSpaceDE w:val="0"/>
        <w:autoSpaceDN w:val="0"/>
        <w:adjustRightInd w:val="0"/>
        <w:spacing w:after="0" w:line="276" w:lineRule="auto"/>
        <w:jc w:val="both"/>
        <w:rPr>
          <w:rFonts w:ascii="Times New Roman" w:eastAsia="Times New Roman" w:hAnsi="Times New Roman" w:cs="Times New Roman"/>
          <w:b/>
          <w:bCs/>
          <w:sz w:val="24"/>
          <w:szCs w:val="24"/>
          <w:lang w:eastAsia="ro-RO"/>
        </w:rPr>
      </w:pPr>
    </w:p>
    <w:p w14:paraId="5B8AC4D7" w14:textId="77777777" w:rsidR="004A23F6" w:rsidRPr="00250C7F" w:rsidRDefault="004A23F6" w:rsidP="004A23F6">
      <w:pPr>
        <w:spacing w:after="0" w:line="276" w:lineRule="auto"/>
        <w:jc w:val="right"/>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                                           C.proc.civ., art. 14, art. 152, art. 153, art. 159, </w:t>
      </w:r>
    </w:p>
    <w:p w14:paraId="75AE5E71" w14:textId="77777777" w:rsidR="004A23F6" w:rsidRPr="00250C7F" w:rsidRDefault="004A23F6" w:rsidP="004A23F6">
      <w:pPr>
        <w:spacing w:after="0" w:line="276" w:lineRule="auto"/>
        <w:jc w:val="right"/>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art. 176, art. 175,  art. 178</w:t>
      </w:r>
    </w:p>
    <w:p w14:paraId="3D6A1C4C"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p>
    <w:p w14:paraId="2ACC6434" w14:textId="77777777" w:rsidR="004A23F6" w:rsidRPr="00250C7F" w:rsidRDefault="004A23F6" w:rsidP="004A23F6">
      <w:pPr>
        <w:spacing w:after="0" w:line="276" w:lineRule="auto"/>
        <w:ind w:firstLine="720"/>
        <w:jc w:val="both"/>
        <w:rPr>
          <w:rFonts w:ascii="Times New Roman" w:eastAsia="Times New Roman" w:hAnsi="Times New Roman" w:cs="Times New Roman"/>
          <w:bCs/>
          <w:i/>
          <w:sz w:val="24"/>
          <w:szCs w:val="24"/>
          <w:lang w:eastAsia="ro-RO"/>
        </w:rPr>
      </w:pPr>
      <w:bookmarkStart w:id="48" w:name="_Hlk81298099"/>
      <w:r w:rsidRPr="00250C7F">
        <w:rPr>
          <w:rFonts w:ascii="Times New Roman" w:eastAsia="Times New Roman" w:hAnsi="Times New Roman" w:cs="Times New Roman"/>
          <w:bCs/>
          <w:i/>
          <w:sz w:val="24"/>
          <w:szCs w:val="24"/>
          <w:lang w:eastAsia="ro-RO"/>
        </w:rPr>
        <w:t>În considerarea dispozițiilor art. 175 Cod procedură civilă, neînmânarea citației în condițiile impuse de lege este sancționată cu nulitatea și, în consecință, vătămarea este prezumată până la proba contrarie, probă ce incumbă părții adverse care are un interes procesual în înlăturarea sancțiunii nulității. Această consecință legală reiese în mod logic din reglementarea ca instituții fundamentale ale procesului civil a procedurii citării și comunicării actelor de procedură, menite să contribuie la concretizarea dreptului la apărare și la exercițiul firesc al contradictorialității, ambele cu semnificația unor garanții substanțiale ale procesului echitabil reglementat de art. 6 par. 1 din Convenția Europeană a Drepturilor Omului.</w:t>
      </w:r>
    </w:p>
    <w:p w14:paraId="7E2CFB80" w14:textId="77777777" w:rsidR="004A23F6" w:rsidRPr="00250C7F" w:rsidRDefault="004A23F6" w:rsidP="004A23F6">
      <w:pPr>
        <w:spacing w:after="0" w:line="276" w:lineRule="auto"/>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i/>
          <w:sz w:val="24"/>
          <w:szCs w:val="24"/>
          <w:lang w:eastAsia="ro-RO"/>
        </w:rPr>
        <w:t xml:space="preserve">           Astfel, cum pe tot parcursul judecăților anterioare, citațiile emise către pârâtă s-au întors cu mențiunea „adresă necunoscută sau incompletă”, partea interesată şi instanța, ex officio, ar fi trebuit să depună diligențele necesare pentru aflarea domiciliului real al pârâtei. </w:t>
      </w:r>
    </w:p>
    <w:p w14:paraId="1EB94AD3" w14:textId="77777777" w:rsidR="004A23F6" w:rsidRPr="00250C7F" w:rsidRDefault="004A23F6" w:rsidP="004A23F6">
      <w:pPr>
        <w:spacing w:after="0" w:line="276" w:lineRule="auto"/>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i/>
          <w:sz w:val="24"/>
          <w:szCs w:val="24"/>
          <w:lang w:eastAsia="ro-RO"/>
        </w:rPr>
        <w:t xml:space="preserve">           Deși la primul termen de judecată, în fața primei instanțe, s-a apreciat de către această instanță că procedura de citare este nelegal îndeplinită cu partea pârâtă, s-a dispus citarea sa prin publicitate, iar nu efectuarea demersurilor procesuale pentru aflarea domiciliului său real. Ulterior, Curtea de Apel a procedat la judecata apelului, deși citarea intimatei nu fusese realizată la domiciliul său legal, astfel încât acesta nu s-a prezentat la proces, personal sau prin reprezentant legal sau convențional, nu i s-a numit un curator special, în condițiile art. 167 alin. 3 Cod procedură civilă, și nu a putut beneficia de garanțiile procesuale inerente procesului civil – dreptul la apărare și contradictorialitatea, cu consecințe, pe plan procesual, în sensul că nu a putut exercita calea de atac a apelului, nu a putut invoca excepții procesuale și apărări, și nici </w:t>
      </w:r>
      <w:r w:rsidRPr="00250C7F">
        <w:rPr>
          <w:rFonts w:ascii="Times New Roman" w:eastAsia="Times New Roman" w:hAnsi="Times New Roman" w:cs="Times New Roman"/>
          <w:bCs/>
          <w:i/>
          <w:sz w:val="24"/>
          <w:szCs w:val="24"/>
          <w:lang w:eastAsia="ro-RO"/>
        </w:rPr>
        <w:lastRenderedPageBreak/>
        <w:t>solicita și administra probele necesare combaterii cererii de chemare în judecată; iar decizia adoptată în apel nu i-a fost legal comunicată.</w:t>
      </w:r>
    </w:p>
    <w:p w14:paraId="457834BA" w14:textId="77777777" w:rsidR="004A23F6" w:rsidRPr="00250C7F" w:rsidRDefault="004A23F6" w:rsidP="004A23F6">
      <w:pPr>
        <w:spacing w:after="0" w:line="276" w:lineRule="auto"/>
        <w:ind w:firstLine="720"/>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i/>
          <w:sz w:val="24"/>
          <w:szCs w:val="24"/>
          <w:lang w:eastAsia="ro-RO"/>
        </w:rPr>
        <w:t>Procedând în acest mod, cu neobservarea formelor legale, prin încălcarea regulilor de desfășurare  a procesului civil, în sensul avut în vedere de art. 175  Cod procedură civilă, instanța de apel a pricinuit părţii o vătămare care nu poate fi înlăturată altfel decât prin reluarea judecății, în condiții de procedură legal îndeplinită, deci cu refacerea actului procedural jurisdicțional, afectat de vicii de legalitate.</w:t>
      </w:r>
    </w:p>
    <w:p w14:paraId="2F8BA6A0" w14:textId="77777777" w:rsidR="004A23F6" w:rsidRPr="00250C7F" w:rsidRDefault="004A23F6" w:rsidP="004A23F6">
      <w:pPr>
        <w:spacing w:after="0" w:line="276" w:lineRule="auto"/>
        <w:jc w:val="both"/>
        <w:rPr>
          <w:rFonts w:ascii="Times New Roman" w:eastAsia="Times New Roman" w:hAnsi="Times New Roman" w:cs="Times New Roman"/>
          <w:i/>
          <w:color w:val="000000"/>
          <w:sz w:val="24"/>
          <w:szCs w:val="24"/>
          <w:lang w:eastAsia="ro-RO"/>
        </w:rPr>
      </w:pPr>
      <w:r w:rsidRPr="00250C7F">
        <w:rPr>
          <w:rFonts w:ascii="Times New Roman" w:eastAsia="Times New Roman" w:hAnsi="Times New Roman" w:cs="Times New Roman"/>
          <w:bCs/>
          <w:i/>
          <w:sz w:val="24"/>
          <w:szCs w:val="24"/>
          <w:lang w:eastAsia="ro-RO"/>
        </w:rPr>
        <w:t xml:space="preserve">            În acest context, trebuie reamintit că instanța de contencios european a drepturilor omului a statuat în mod constant că </w:t>
      </w:r>
      <w:r w:rsidRPr="00250C7F">
        <w:rPr>
          <w:rFonts w:ascii="Times New Roman" w:eastAsia="Times New Roman" w:hAnsi="Times New Roman" w:cs="Times New Roman"/>
          <w:i/>
          <w:color w:val="000000"/>
          <w:sz w:val="24"/>
          <w:szCs w:val="24"/>
          <w:lang w:eastAsia="ro-RO"/>
        </w:rPr>
        <w:t>dreptul de acces la o instanță, principiul contradictorialității, precum și principiul egalității armelor, consacrate de art. 6 par. 1 din Convenție, se aplică, de asemenea, în domeniul specific al comunicării actelor de procedură părților.</w:t>
      </w:r>
    </w:p>
    <w:p w14:paraId="1B8426E9"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i/>
          <w:sz w:val="24"/>
          <w:szCs w:val="24"/>
        </w:rPr>
      </w:pPr>
      <w:r w:rsidRPr="00250C7F">
        <w:rPr>
          <w:rFonts w:ascii="Times New Roman" w:eastAsia="Times New Roman" w:hAnsi="Times New Roman" w:cs="Times New Roman"/>
          <w:i/>
          <w:sz w:val="24"/>
          <w:szCs w:val="24"/>
        </w:rPr>
        <w:t>În acord cu jurisprudența Curții Europene a Drepturilor Omului, instanțele interne trebuie să dea dovadă de diligență în ceea ce privește asigurarea informării părților cu privire la termenele de judecată și să își respecte obligația de a le asigura participarea efectivă la proces, în caz contrar, dreptul la un proces echitabil, cu componenta sa materială esențială - dreptul de acces la un tribunal independent și imparțial, garantat de dispozițiile convenționale ale art. 6 par. 1, putând fi afectat în substanța sa, devenind unul formal și iluzoriu.</w:t>
      </w:r>
    </w:p>
    <w:bookmarkEnd w:id="48"/>
    <w:p w14:paraId="37D589DE" w14:textId="77777777" w:rsidR="004A23F6" w:rsidRPr="00250C7F" w:rsidRDefault="004A23F6" w:rsidP="004A23F6">
      <w:pPr>
        <w:spacing w:after="0" w:line="276" w:lineRule="auto"/>
        <w:jc w:val="both"/>
        <w:rPr>
          <w:rFonts w:ascii="Times New Roman" w:eastAsia="Times New Roman" w:hAnsi="Times New Roman" w:cs="Times New Roman"/>
          <w:bCs/>
          <w:sz w:val="24"/>
          <w:szCs w:val="24"/>
          <w:lang w:eastAsia="ro-RO"/>
        </w:rPr>
      </w:pPr>
    </w:p>
    <w:p w14:paraId="1616DF98" w14:textId="77777777" w:rsidR="004A23F6" w:rsidRPr="00250C7F" w:rsidRDefault="004A23F6" w:rsidP="004A23F6">
      <w:pPr>
        <w:spacing w:after="0" w:line="276" w:lineRule="auto"/>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I.C.C.J., Secţia I civilă, decizia nr. 681 din 31 martie 2021</w:t>
      </w:r>
    </w:p>
    <w:p w14:paraId="068C8AD0" w14:textId="77777777" w:rsidR="004A23F6" w:rsidRPr="00250C7F" w:rsidRDefault="004A23F6" w:rsidP="004A23F6">
      <w:pPr>
        <w:spacing w:after="0" w:line="276" w:lineRule="auto"/>
        <w:ind w:firstLine="720"/>
        <w:jc w:val="both"/>
        <w:rPr>
          <w:rFonts w:ascii="Times New Roman" w:eastAsia="Times New Roman" w:hAnsi="Times New Roman" w:cs="Times New Roman"/>
          <w:b/>
          <w:bCs/>
          <w:sz w:val="24"/>
          <w:szCs w:val="24"/>
          <w:lang w:eastAsia="ro-RO"/>
        </w:rPr>
      </w:pPr>
    </w:p>
    <w:p w14:paraId="58B5F0B4" w14:textId="77777777" w:rsidR="004A23F6" w:rsidRPr="00250C7F" w:rsidRDefault="004A23F6" w:rsidP="004A23F6">
      <w:pPr>
        <w:spacing w:after="0" w:line="276" w:lineRule="auto"/>
        <w:ind w:firstLine="720"/>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I. Circumstanţele cauzei:</w:t>
      </w:r>
    </w:p>
    <w:p w14:paraId="56E00A7F" w14:textId="77777777" w:rsidR="004A23F6" w:rsidRPr="00250C7F" w:rsidRDefault="004A23F6" w:rsidP="004A23F6">
      <w:pPr>
        <w:spacing w:after="0" w:line="276" w:lineRule="auto"/>
        <w:ind w:firstLine="720"/>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 xml:space="preserve"> 1. Obiectul cauzei:</w:t>
      </w:r>
    </w:p>
    <w:p w14:paraId="6BFF938F"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cererea de chemare în judecată, înregistrată pe rolul Tribunalul Cluj - Secţia I civilă la data de 18 iunie 2014, sub nr. 3568/117/2014, reclamantul A. a chemat în judecată pe pârâţii SC B. SA, C., D., E., F. şi G., solicitând instanţei, ca prin hotărârea ce se va pronunța, să se dispună obligarea pârâţilor, în solidar, la plata următoarelor despăgubiri: suma de 20.000 lei, cu titlu de daune materiale, constând în cheltuieli efectuate în legătură cu spitalizarea, tratamentul, medicaţia, consultaţiile, investigaţiile şi recuperările medicale, deplasările la spital, alimentaţie de regim; 245.900 dolari americani, reprezentând costul a 10 sesiuni de recuperare la clinica X. din Statele Unite ale Americii; suma de 724 lei, cu titlu de despăgubiri periodice, lunare, de la momentul producerii accidentului de muncă, precum şi echivalentul în lei al sumei de 300.000 euro, cu titlu de daune morale; cu obligarea pârâţilor, în solidar, la suportarea cheltuielilor de judecată.</w:t>
      </w:r>
    </w:p>
    <w:p w14:paraId="46CCC498"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Pârâtul G. a formulat cerere de chemare în garanţie a SC H. SA, în calitate de asigurător, solicitând ca, în ipoteza admiterii acţiunii, să fie obligată chemata în garanţie să achite prejudiciul, în limita dispusă de instanţă, cu titlu de sumă asigurată.</w:t>
      </w:r>
    </w:p>
    <w:p w14:paraId="389EC792"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întâmpinarea formulată, pârâtul G. a solicitat respingerea acţiunii introductive, iar, pe cale de excepţie, a invocat prescripţia acţiunii introductive, arătând că, potrivit art. 3 alin. (1) din Decretul nr. 167/1958, în materie de drepturi de creanţă, termenul general de prescripţie este de 3 ani.</w:t>
      </w:r>
    </w:p>
    <w:p w14:paraId="3E5B0966"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La data de 31.07.2014, pârâta SC B. SA a formulat cerere de chemare în garanţie a SC H. SA, solicitând ca, în ipoteza admiterii acţiunii introductive, să fie obligată chemata în garanţie să achite prejudiciul, în limita dispusă de instanţă, cu titlu de sumă asigurată.</w:t>
      </w:r>
    </w:p>
    <w:p w14:paraId="45847455"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lastRenderedPageBreak/>
        <w:t>Prin întâmpinarea formulată de pârâta SC B. SA s-a solicitat, raportat la art. 6 alin. (4) şi art. 2539 alin. (2) Cod civil, admiterea excepţiei prescripţiei dreptului material la acţiune, şi, pe cale de consecinţă, respingerea cererii de chemare în judecată, ca inadmisibilă.</w:t>
      </w:r>
    </w:p>
    <w:p w14:paraId="056FB866"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Pârâtul C. a formulat cerere de chemare în garanţie a SC H. SA, solicitând instanţei ca, în ipoteza admiterii acţiunii introductive, să oblige chemata în garanţie să achite prejudiciul, în limita dispusă de instanţă, cu titlu de sumă asigurată.</w:t>
      </w:r>
    </w:p>
    <w:p w14:paraId="2A01DA87"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întâmpinarea formulată de pârâtul C., acesta a arătat că susţine poziţia societăţii SC B. SA, invocând aceleaşi aspecte din cuprinsul întâmpinării societăţii.</w:t>
      </w:r>
    </w:p>
    <w:p w14:paraId="24292CBC"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La data de 31.07.2014, pârâtul D. a formulat cerere de chemare în garanţie a SC H.</w:t>
      </w:r>
    </w:p>
    <w:p w14:paraId="5AA5EAE8"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întâmpinarea formulată, pârâtul D. a invocat aspecte identice cu cele din întâmpinarea societăţii pârâte.</w:t>
      </w:r>
    </w:p>
    <w:p w14:paraId="2A31B27B"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La data de 25.09.2014, reclamantul a depus cerere de precizare a acţiunii introductive, prin care a înţeles să îşi majoreze cuantumul daunelor morale la 1.000.000 euro.</w:t>
      </w:r>
    </w:p>
    <w:p w14:paraId="4F98D740"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întâmpinarea formulată la data de 14.10.2014, chemata în garanţie SC H. SA a solicitat, în principal, admiterea excepţiei necompetenţei materiale a Tribunalului Cluj, cu consecinţa declinării competenţei de soluţionare a cauzei în favoarea Tribunalului Specializat Cluj.</w:t>
      </w:r>
    </w:p>
    <w:p w14:paraId="35867F6D"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În subsidiar, în măsura  în care instanţa ar considera că litigiul este unul de muncă, şi nu unul cu profesionişti, a invocat excepţia inadmisibilităţii cererii de chemare în garanţie, formulată într-un litigiu de muncă, cu consecinţa respingerii, în principiu, a cererilor formulate de pârâţi împotriva SC H. SA. </w:t>
      </w:r>
    </w:p>
    <w:p w14:paraId="03D355E3"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situaţia în care instanţa va respinge excepţia inadmisibilităţii, ori aceasta va rămâne fără obiect, a arătat că nu se opune admiterii în principiu a cererii de chemare în garanţie formulată de către societatea SC B. SA, însă a solicitat respingerea ei, în temeiul excepţiilor invocate, sau, pe fond.</w:t>
      </w:r>
    </w:p>
    <w:p w14:paraId="5D929E69"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situaţia în care instanţa va admite în principiu cererea de chemare în garanţie, a arătat că susţine poziţia procesuală din întâmpinarea depusă de pârâta SC B. SA, în măsura în care nu contrazice apărările sale şi a solicitat admiterea excepţiei prescripţiei dreptului material la acţiune, în ceea ce priveşte cererea de chemare în judecată, aceasta fiind formulată după împlinirea termenului de 3 ani, cu consecinţa respingerii, ca rămasă fără obiect, a cererii de chemare în garanţie. În subsidiar, a solicitat respingerea, pe fond, a cererii de chemare în judecată, cu consecinţa respingerii, ca rămasă fără obiect, a cererii de chemare în garanţie.</w:t>
      </w:r>
    </w:p>
    <w:p w14:paraId="5CD3FDC8" w14:textId="77777777" w:rsidR="004A23F6" w:rsidRPr="00250C7F" w:rsidRDefault="004A23F6" w:rsidP="004A23F6">
      <w:pPr>
        <w:spacing w:after="0" w:line="276" w:lineRule="auto"/>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Cs/>
          <w:sz w:val="24"/>
          <w:szCs w:val="24"/>
          <w:lang w:eastAsia="ro-RO"/>
        </w:rPr>
        <w:tab/>
      </w:r>
      <w:r w:rsidRPr="00250C7F">
        <w:rPr>
          <w:rFonts w:ascii="Times New Roman" w:eastAsia="Times New Roman" w:hAnsi="Times New Roman" w:cs="Times New Roman"/>
          <w:b/>
          <w:bCs/>
          <w:sz w:val="24"/>
          <w:szCs w:val="24"/>
          <w:lang w:eastAsia="ro-RO"/>
        </w:rPr>
        <w:t>2. Hotărârile pronunţate în primă instanţă:</w:t>
      </w:r>
    </w:p>
    <w:p w14:paraId="7CEC5F1B" w14:textId="4B0994B2" w:rsidR="004A23F6" w:rsidRPr="00250C7F" w:rsidRDefault="004A23F6" w:rsidP="00100420">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sentinţa civilă nr. 87 din 11.02.2015, Tribunalul Cluj - Secţia civilă a admis excepţia necompetenţei materiale a acestei instanţe şi a declinat competenţa de soluţionare a cererii de che</w:t>
      </w:r>
      <w:r w:rsidR="00100420" w:rsidRPr="00250C7F">
        <w:rPr>
          <w:rFonts w:ascii="Times New Roman" w:eastAsia="Times New Roman" w:hAnsi="Times New Roman" w:cs="Times New Roman"/>
          <w:bCs/>
          <w:sz w:val="24"/>
          <w:szCs w:val="24"/>
          <w:lang w:eastAsia="ro-RO"/>
        </w:rPr>
        <w:t xml:space="preserve">mare în judecată, formulată de </w:t>
      </w:r>
      <w:r w:rsidRPr="00250C7F">
        <w:rPr>
          <w:rFonts w:ascii="Times New Roman" w:eastAsia="Times New Roman" w:hAnsi="Times New Roman" w:cs="Times New Roman"/>
          <w:bCs/>
          <w:sz w:val="24"/>
          <w:szCs w:val="24"/>
          <w:lang w:eastAsia="ro-RO"/>
        </w:rPr>
        <w:t>reclamantul A., în favoarea Tribunalului Specializat Cluj.</w:t>
      </w:r>
    </w:p>
    <w:p w14:paraId="13098C64"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sentinţa civilă nr. 1636 din 3.06.2015, Tribunalul Specializat Cluj a admis excepţia necompetenţei materiale a acestei instanţe şi a declinat competenţa de soluţionare a cererii de chemare în judecată formulată de reclamantul A., în favoarea Tribunalului Cluj.</w:t>
      </w:r>
    </w:p>
    <w:p w14:paraId="705B9C49"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Constatându-se ivit conflictul negativ de competenţă s-a dispus trimiterea cauzei, pentru soluţionarea conflictului, Curţii de Apel Cluj.</w:t>
      </w:r>
    </w:p>
    <w:p w14:paraId="0587930F"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sentinţa civilă nr. 87 din 23.11.2015, Curtea de Apel Cluj — Secţia a II-a civilă a stabilit competenţa de soluţionare a cererii de chemare în judecată, formulată de reclamantul A., în favoarea Tribunalului Cluj.</w:t>
      </w:r>
    </w:p>
    <w:p w14:paraId="3D2167B6"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lastRenderedPageBreak/>
        <w:t>Prin încheierea din 20.04.2016, Tribunalul Cluj, raportat la dispoziţiile art. 29 lit. i) din OUG nr.80/2013, a respins excepţia netimbrării acţiunii.</w:t>
      </w:r>
    </w:p>
    <w:p w14:paraId="459492F9"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 admis în principiu cererea de chemare în garanţie a asigurătorului SC H. SA, doar din perspectiva pârâtei SC B. SA, iar pentru persoanele fizice pârâte, C., D. şi G., care au formulat cereri de chemare în garanţie, a respins, ca inadmisibilă, cererea de chemare în garanţie, în raport de dispoziţiile art. 64 alin. (4) şi următoarele Cod procedură civilă.</w:t>
      </w:r>
    </w:p>
    <w:p w14:paraId="6FD73CD6"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La data de 17.05.2016, pârâta SC B. SA a depus la dosar certificatul de deces al pârâtului D..</w:t>
      </w:r>
    </w:p>
    <w:p w14:paraId="2F45CA8A"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cererea depusă la 6.09.2016, reclamantul A. a solicitat introducerea în cauză a moştenitorilor pârâtului D., respectiv I., în calitate de soţie supravieţuitoare, J., K. şi L., în calitate de fii ai defunctului pârât.</w:t>
      </w:r>
    </w:p>
    <w:p w14:paraId="2377E015"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încheierea de şedinţă din 7.09.2016, Tribunalul Cluj-Secţia civilă a dispus introducerea în cauză a moştenitorilor pârâtului D., astfel cum au fost indicaţi de către reclamant.</w:t>
      </w:r>
    </w:p>
    <w:p w14:paraId="48DC5833"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încheierea civilă nr. 53 din 3.02.2017, Tribunalul Cluj - Secţia civilă a respins excepţia prescripţiei dreptului material la acţiune al reclamantului A.</w:t>
      </w:r>
    </w:p>
    <w:p w14:paraId="48307CCF"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precizarea de acţiune formulată la 20.11.2018, reclamantul a solicitat modificarea cuantumului pensiei lunare solicitate prin acţiunea introductivă, de la 724 lei la 2824 lei, şi suma de 2025 lei de 5 ori pe an.</w:t>
      </w:r>
    </w:p>
    <w:p w14:paraId="0730FAB4"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încheierea de şedinţă din data de 23.11.2018, Tribunalul Cluj - Secţia civilă a introdus în cauză, moştenitorii defunctului pârât G., respectiv M. şi N., în calitate de fii, şi O., soţie supravieţuitoare.</w:t>
      </w:r>
    </w:p>
    <w:p w14:paraId="7D0E7546"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sentinţa civilă nr. 54 din 1.02.2019, Tribunalul Cluj - Secţia civilă a admis, în parte, acţiunea civilă precizată formulată de reclamantul A., în contradictoriu cu pârâţii SC B. SA, C., I., în calitate de soţie supravieţuitoare a pârâtului D., J., K., L., în calitate de descendenți ai pârâtului D., E., F., O., M., N., în calitate de moştenitori ai defunctului-pârât G., şi pe cale de consecinţă, au fost obligaţi pârâţii, în solidar, la plata în favoarea reclamantului A. a sumei de 100.000 euro, cu titlu de daune morale şi, a sumei de 20.000 lei, cu titlu de daune materiale; au fost respinse, în rest, pretenţiile reclamantului; a respins cererea de chemare în garanţie a SC H. SA, formulată de către pârâta SC B. SA; au fost obligaţi pârâţii, în solidar, la plata, în favoarea reclamantului A., a sumei de 250 lei, cu titlu de cheltuieli de judecată parţiale, reprezentând onorariul de avocat.</w:t>
      </w:r>
    </w:p>
    <w:p w14:paraId="2EB5ECE0" w14:textId="77777777" w:rsidR="004A23F6" w:rsidRPr="00250C7F" w:rsidRDefault="004A23F6" w:rsidP="004A23F6">
      <w:pPr>
        <w:spacing w:after="0" w:line="276" w:lineRule="auto"/>
        <w:ind w:firstLine="720"/>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3. Decizia pronunţată în apel:</w:t>
      </w:r>
    </w:p>
    <w:p w14:paraId="144D1D54"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decizia civilă nr. 287/A din 18.12.2019, Curtea de Apel Cluj - Secţia I civilă a admis, în parte, apelul declarat de reclamantul A., împotriva sentinţei civile nr. 54/2019, pronunţată de Tribunalul Cluj - Secţia Civilă, pe care a schimbat-o în parte, în sensul că a obligat pârâţii, în solidar, la plata, în favoarea reclamantului A., a sumei de 400.000 euro, în echivalent în lei la cursul BNR din ziua plăţii, cu titlu de daune morale, în loc de suma de 100.000 euro, cu acelaşi titlu; a obligat pârâţii, în solidar, la plata, în favoarea reclamantului A., a unor sume cu titlu de prestaţii periodice, respectiv a sumei de câte 2.824 lei lunar, pe toată durata vieţii reclamantului şi a sumei de câte 2.025 lei de 5 ori pe an, pe toată durata vieţii reclamantului, sume necesare pentru tratamentul continuu al reclamantului; a păstrat restul dispoziţiilor sentinţei apelate; a respins ca nefondate apelurile declarate de pârâţii SC B. SA, F., C., O., N. şi M., aceştia din urma în calitate de moştenitori după G., împotriva aceleiași sentinţe, şi a obligat pârâţii, în solidar, la plata sumei de 3.000 lei, în favoarea reclamantului A., cu titlu de cheltuieli de judecată în apel.</w:t>
      </w:r>
    </w:p>
    <w:p w14:paraId="6D6ACBB9" w14:textId="77777777" w:rsidR="004A23F6" w:rsidRPr="00250C7F" w:rsidRDefault="004A23F6" w:rsidP="004A23F6">
      <w:pPr>
        <w:spacing w:after="0" w:line="276" w:lineRule="auto"/>
        <w:ind w:firstLine="720"/>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4. Calea de atac exercitată în cauză:</w:t>
      </w:r>
    </w:p>
    <w:p w14:paraId="3516587E"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lastRenderedPageBreak/>
        <w:t>Împotriva deciziei civile nr. 287/A/2019, pronunţată de Curtea de Apel Cluj - Secţia I civilă, au declarat recurs pârâţii SC B. SA,  C., F., O. – precum şi pârâta E.</w:t>
      </w:r>
    </w:p>
    <w:p w14:paraId="354D9CFC"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Recursul depus de recurenta-pârâtă SC B. SA:</w:t>
      </w:r>
    </w:p>
    <w:p w14:paraId="0983912B" w14:textId="2678FC82" w:rsidR="004A23F6" w:rsidRPr="00250C7F" w:rsidRDefault="004A23F6" w:rsidP="00100420">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cererea de recurs, întemeiată, pe dispoziţiile art. 488 alin. (1) pct. 8 C</w:t>
      </w:r>
      <w:r w:rsidR="00100420" w:rsidRPr="00250C7F">
        <w:rPr>
          <w:rFonts w:ascii="Times New Roman" w:eastAsia="Times New Roman" w:hAnsi="Times New Roman" w:cs="Times New Roman"/>
          <w:bCs/>
          <w:sz w:val="24"/>
          <w:szCs w:val="24"/>
          <w:lang w:eastAsia="ro-RO"/>
        </w:rPr>
        <w:t>od procedură civilă, recurenta-</w:t>
      </w:r>
      <w:r w:rsidRPr="00250C7F">
        <w:rPr>
          <w:rFonts w:ascii="Times New Roman" w:eastAsia="Times New Roman" w:hAnsi="Times New Roman" w:cs="Times New Roman"/>
          <w:bCs/>
          <w:sz w:val="24"/>
          <w:szCs w:val="24"/>
          <w:lang w:eastAsia="ro-RO"/>
        </w:rPr>
        <w:t>pârâtă</w:t>
      </w: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bCs/>
          <w:sz w:val="24"/>
          <w:szCs w:val="24"/>
          <w:lang w:eastAsia="ro-RO"/>
        </w:rPr>
        <w:t>SC B. SA a solicitat admiterea recursului, casarea, în totalitate, a deciziei atacate, respectiv a sentinţei nr. 54/2019, a încheierii civile nr. 53 din 3.02.2017 şi a încheierii civile din 20.04.2016, toate pronunţate de Tribunalul Cluj, şi trimiterea cauzei, spre rejudecare, în fond, Tribunalului Cluj, urmând a se dispune, în principal, anularea acţiunii precizate, ca fiind netimbrată, în secundar, respingerea acţiunii precizate, ca fiind prescrisă; în terţiar, respingerea acţiunii precizate, ca nefondată, şi, în cuaternar, în cazul admiterii acţiunii precizate, admiterea cererii de chemare în garanţie a intimatei-pârâte SC H.SA.</w:t>
      </w:r>
    </w:p>
    <w:p w14:paraId="1764C882" w14:textId="77777777" w:rsidR="004A23F6" w:rsidRPr="00250C7F" w:rsidRDefault="004A23F6" w:rsidP="004A23F6">
      <w:pPr>
        <w:spacing w:after="0" w:line="276" w:lineRule="auto"/>
        <w:ind w:firstLine="709"/>
        <w:jc w:val="both"/>
        <w:rPr>
          <w:rFonts w:ascii="Times New Roman" w:eastAsia="Calibri" w:hAnsi="Times New Roman" w:cs="Times New Roman"/>
          <w:bCs/>
          <w:sz w:val="24"/>
          <w:szCs w:val="24"/>
          <w:lang w:eastAsia="ro-RO"/>
        </w:rPr>
      </w:pPr>
      <w:r w:rsidRPr="00250C7F">
        <w:rPr>
          <w:rFonts w:ascii="Times New Roman" w:eastAsia="Calibri" w:hAnsi="Times New Roman" w:cs="Times New Roman"/>
          <w:bCs/>
          <w:sz w:val="24"/>
          <w:szCs w:val="24"/>
          <w:lang w:eastAsia="ro-RO"/>
        </w:rPr>
        <w:t>În dezvoltarea motivelor de recurs, recurenta-pârâtă a invocat aplicarea greşită a prevederilor art. 29 lit. i) din O.U.G. nr. 80/2013 privind taxele judiciare de timbru.</w:t>
      </w:r>
    </w:p>
    <w:p w14:paraId="106CEB50"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Recurenta-pârâtă a făcut referire la Decizia nr. 387/2015 a Curţii Constituţionale care, în analiza constituţionalităţii prevederii legale anterior menţionate, a stabilit că </w:t>
      </w:r>
      <w:r w:rsidRPr="00250C7F">
        <w:rPr>
          <w:rFonts w:ascii="Times New Roman" w:eastAsia="Calibri" w:hAnsi="Times New Roman" w:cs="Times New Roman"/>
          <w:bCs/>
          <w:sz w:val="24"/>
          <w:szCs w:val="24"/>
          <w:lang w:eastAsia="ro-RO"/>
        </w:rPr>
        <w:t xml:space="preserve">esenţială este existenţa unei cauze penale, mai precis a unei cauze în care </w:t>
      </w:r>
      <w:r w:rsidRPr="00250C7F">
        <w:rPr>
          <w:rFonts w:ascii="Times New Roman" w:eastAsia="Calibri" w:hAnsi="Times New Roman" w:cs="Times New Roman"/>
          <w:sz w:val="24"/>
          <w:szCs w:val="24"/>
          <w:lang w:eastAsia="ro-RO"/>
        </w:rPr>
        <w:t xml:space="preserve">s-a </w:t>
      </w:r>
      <w:r w:rsidRPr="00250C7F">
        <w:rPr>
          <w:rFonts w:ascii="Times New Roman" w:eastAsia="Calibri" w:hAnsi="Times New Roman" w:cs="Times New Roman"/>
          <w:bCs/>
          <w:sz w:val="24"/>
          <w:szCs w:val="24"/>
          <w:lang w:eastAsia="ro-RO"/>
        </w:rPr>
        <w:t xml:space="preserve">pus în mişcare acţiunea penală </w:t>
      </w:r>
      <w:r w:rsidRPr="00250C7F">
        <w:rPr>
          <w:rFonts w:ascii="Times New Roman" w:eastAsia="Calibri" w:hAnsi="Times New Roman" w:cs="Times New Roman"/>
          <w:sz w:val="24"/>
          <w:szCs w:val="24"/>
          <w:lang w:eastAsia="ro-RO"/>
        </w:rPr>
        <w:t xml:space="preserve">de către procuror, prin ordonanţă, în baza art. 309 Cod procedură penală, când acesta constată că există probe din care rezultă că o persoană a săvârşit o infracţiune şi </w:t>
      </w:r>
      <w:r w:rsidRPr="00250C7F">
        <w:rPr>
          <w:rFonts w:ascii="Times New Roman" w:eastAsia="Calibri" w:hAnsi="Times New Roman" w:cs="Times New Roman"/>
          <w:bCs/>
          <w:sz w:val="24"/>
          <w:szCs w:val="24"/>
          <w:lang w:eastAsia="ro-RO"/>
        </w:rPr>
        <w:t>nu subzistă vreunul din cazurile de împiedicare prevăzute de art. 16 alin. (1) Cod procedură penală, fostul art. 10 din vechea reglementare procesual penală.</w:t>
      </w:r>
    </w:p>
    <w:p w14:paraId="3D8C0580" w14:textId="77777777" w:rsidR="004A23F6" w:rsidRPr="00250C7F" w:rsidRDefault="004A23F6" w:rsidP="004A23F6">
      <w:pPr>
        <w:spacing w:after="0" w:line="276" w:lineRule="auto"/>
        <w:ind w:firstLine="709"/>
        <w:jc w:val="both"/>
        <w:rPr>
          <w:rFonts w:ascii="Times New Roman" w:eastAsia="Calibri" w:hAnsi="Times New Roman" w:cs="Times New Roman"/>
          <w:bCs/>
          <w:sz w:val="24"/>
          <w:szCs w:val="24"/>
          <w:lang w:eastAsia="ro-RO"/>
        </w:rPr>
      </w:pPr>
      <w:r w:rsidRPr="00250C7F">
        <w:rPr>
          <w:rFonts w:ascii="Times New Roman" w:eastAsia="Calibri" w:hAnsi="Times New Roman" w:cs="Times New Roman"/>
          <w:sz w:val="24"/>
          <w:szCs w:val="24"/>
          <w:lang w:eastAsia="ro-RO"/>
        </w:rPr>
        <w:t xml:space="preserve">În speţă, </w:t>
      </w:r>
      <w:r w:rsidRPr="00250C7F">
        <w:rPr>
          <w:rFonts w:ascii="Times New Roman" w:eastAsia="Calibri" w:hAnsi="Times New Roman" w:cs="Times New Roman"/>
          <w:bCs/>
          <w:sz w:val="24"/>
          <w:szCs w:val="24"/>
          <w:lang w:eastAsia="ro-RO"/>
        </w:rPr>
        <w:t xml:space="preserve">Tribunalul Cluj, prin decizia penală nr. 594/R/2011, pronunţată în dosarul nr. x/328/2011, a statuat, în mod definitiv, cu privire la caracterul principal al motivului de stingere a acţiunii penale, respectiv prescripţia răspunderii penale în raport de art. 10 lit. d) din vechea reglementare procesual penală. </w:t>
      </w:r>
    </w:p>
    <w:p w14:paraId="3FBBC422" w14:textId="77777777" w:rsidR="004A23F6" w:rsidRPr="00250C7F" w:rsidRDefault="004A23F6" w:rsidP="004A23F6">
      <w:pPr>
        <w:spacing w:after="0" w:line="276" w:lineRule="auto"/>
        <w:ind w:firstLine="709"/>
        <w:jc w:val="both"/>
        <w:rPr>
          <w:rFonts w:ascii="Times New Roman" w:eastAsia="Calibri" w:hAnsi="Times New Roman" w:cs="Times New Roman"/>
          <w:bCs/>
          <w:sz w:val="24"/>
          <w:szCs w:val="24"/>
          <w:lang w:eastAsia="ro-RO"/>
        </w:rPr>
      </w:pPr>
      <w:r w:rsidRPr="00250C7F">
        <w:rPr>
          <w:rFonts w:ascii="Times New Roman" w:eastAsia="Calibri" w:hAnsi="Times New Roman" w:cs="Times New Roman"/>
          <w:bCs/>
          <w:sz w:val="24"/>
          <w:szCs w:val="24"/>
          <w:lang w:eastAsia="ro-RO"/>
        </w:rPr>
        <w:t xml:space="preserve">Recurenta-pârâtă a opinat că reţinerea inexistenţei unei acţiuni penale conduce la inexistenţa cauzei penale, care este condiţie </w:t>
      </w:r>
      <w:r w:rsidRPr="00250C7F">
        <w:rPr>
          <w:rFonts w:ascii="Times New Roman" w:eastAsia="Calibri" w:hAnsi="Times New Roman" w:cs="Times New Roman"/>
          <w:bCs/>
          <w:iCs/>
          <w:sz w:val="24"/>
          <w:szCs w:val="24"/>
          <w:lang w:eastAsia="ro-RO"/>
        </w:rPr>
        <w:t xml:space="preserve">sine qua non </w:t>
      </w:r>
      <w:r w:rsidRPr="00250C7F">
        <w:rPr>
          <w:rFonts w:ascii="Times New Roman" w:eastAsia="Calibri" w:hAnsi="Times New Roman" w:cs="Times New Roman"/>
          <w:bCs/>
          <w:sz w:val="24"/>
          <w:szCs w:val="24"/>
          <w:lang w:eastAsia="ro-RO"/>
        </w:rPr>
        <w:t>pentru aplicarea prevederilor art. 29 lit. i) din O.U.G. nr. 80/2013, prin prisma şi în înţelesul Deciziei nr. 387/27.05.2015 a Curţii Constituţionale.</w:t>
      </w:r>
    </w:p>
    <w:p w14:paraId="216034E1" w14:textId="77777777" w:rsidR="004A23F6" w:rsidRPr="00250C7F" w:rsidRDefault="004A23F6" w:rsidP="004A23F6">
      <w:pPr>
        <w:spacing w:after="0" w:line="276" w:lineRule="auto"/>
        <w:ind w:firstLine="709"/>
        <w:jc w:val="both"/>
        <w:rPr>
          <w:rFonts w:ascii="Times New Roman" w:eastAsia="Calibri" w:hAnsi="Times New Roman" w:cs="Times New Roman"/>
          <w:bCs/>
          <w:sz w:val="24"/>
          <w:szCs w:val="24"/>
          <w:lang w:eastAsia="ro-RO"/>
        </w:rPr>
      </w:pPr>
      <w:r w:rsidRPr="00250C7F">
        <w:rPr>
          <w:rFonts w:ascii="Times New Roman" w:eastAsia="Calibri" w:hAnsi="Times New Roman" w:cs="Times New Roman"/>
          <w:bCs/>
          <w:sz w:val="24"/>
          <w:szCs w:val="24"/>
          <w:lang w:eastAsia="ro-RO"/>
        </w:rPr>
        <w:t>Prin urmare, a arătat că, în mod greşit, reclamantul a fost scutit de la plata taxei judiciare de timbru aferente pretenţiilor sale, fiind aplicate greşit prevederile art. 29 lit. i) din O.U.G. nr. 80/2013, iar prima instanţă nu a fost învestită, în mod legal, cu judecarea cauzei, ceea ce atrage necesitatea invalidării hotărârilor pronunţate în dosarul de faţă.</w:t>
      </w:r>
    </w:p>
    <w:p w14:paraId="02D95E21"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În continuare, recurenta-pârâtă a invocat încălcarea dispoziţiilor art. 8 alin. (1) din Decretul nr. 167/1958, potrivit cărora prescripţia dreptului la acţiune în repararea pagubei pricinuite prin fapta ilicită începe să curgă de la data când păgubitul a cunoscut atât paguba, cât şi pe cel care răspunde de ea; în cauză, reclamantul nu s-a constituit parte civilă în dosarul penal, în termen de 3 ani de la momentul producerii accidentului din 19 iulie 2005, </w:t>
      </w:r>
      <w:r w:rsidRPr="00250C7F">
        <w:rPr>
          <w:rFonts w:ascii="Times New Roman" w:eastAsia="Calibri" w:hAnsi="Times New Roman" w:cs="Times New Roman"/>
          <w:bCs/>
          <w:sz w:val="24"/>
          <w:szCs w:val="24"/>
          <w:lang w:eastAsia="ro-RO"/>
        </w:rPr>
        <w:t xml:space="preserve">împotriva societăţii pârâte sau a antecesoarei sale, deşi cunoştea de la început </w:t>
      </w:r>
      <w:r w:rsidRPr="00250C7F">
        <w:rPr>
          <w:rFonts w:ascii="Times New Roman" w:eastAsia="Calibri" w:hAnsi="Times New Roman" w:cs="Times New Roman"/>
          <w:sz w:val="24"/>
          <w:szCs w:val="24"/>
          <w:lang w:eastAsia="ro-RO"/>
        </w:rPr>
        <w:t>persoanele pe care le considera responsabile cu producerea prejudiciului, iar cercetarea penală nu i-a furnizat nicio informaţie cu caracter de noutate, relevantă cu privire la identitatea eventualelor persoane responsabile.</w:t>
      </w:r>
    </w:p>
    <w:p w14:paraId="67FCC8EA"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A mai arătat că, în susţinerea pretenţiilor sale, reclamantul a invocat prevederile art. 18 din Legea nr. 90/1996, astfel că prerogativa atragerii răspunderii civile a societăţii exista şi ţinea în mod exclusiv de voinţa reclamantului, respectiv a petentului din plângerea penală.</w:t>
      </w:r>
    </w:p>
    <w:p w14:paraId="67B4AA4D" w14:textId="77777777" w:rsidR="004A23F6" w:rsidRPr="00250C7F" w:rsidRDefault="004A23F6" w:rsidP="004A23F6">
      <w:pPr>
        <w:spacing w:after="0" w:line="276" w:lineRule="auto"/>
        <w:ind w:firstLine="709"/>
        <w:jc w:val="both"/>
        <w:rPr>
          <w:rFonts w:ascii="Times New Roman" w:eastAsia="Calibri" w:hAnsi="Times New Roman" w:cs="Times New Roman"/>
          <w:bCs/>
          <w:sz w:val="24"/>
          <w:szCs w:val="24"/>
          <w:lang w:eastAsia="ro-RO"/>
        </w:rPr>
      </w:pPr>
      <w:r w:rsidRPr="00250C7F">
        <w:rPr>
          <w:rFonts w:ascii="Times New Roman" w:eastAsia="Calibri" w:hAnsi="Times New Roman" w:cs="Times New Roman"/>
          <w:bCs/>
          <w:sz w:val="24"/>
          <w:szCs w:val="24"/>
          <w:lang w:eastAsia="ro-RO"/>
        </w:rPr>
        <w:lastRenderedPageBreak/>
        <w:t xml:space="preserve">Prin urmare, recurenta-pârâtă a susţinut că dreptul reclamantului de a invoca pretenţii împotriva pârâţilor s-a prescris în cursul anului 2008, iar cererea de chemare în judecată formulată în anul 2014 este tardivă. </w:t>
      </w:r>
    </w:p>
    <w:p w14:paraId="18F62F08"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bCs/>
          <w:sz w:val="24"/>
          <w:szCs w:val="24"/>
          <w:lang w:eastAsia="ro-RO"/>
        </w:rPr>
        <w:t>Pe de altă parte, î</w:t>
      </w:r>
      <w:r w:rsidRPr="00250C7F">
        <w:rPr>
          <w:rFonts w:ascii="Times New Roman" w:eastAsia="Calibri" w:hAnsi="Times New Roman" w:cs="Times New Roman"/>
          <w:sz w:val="24"/>
          <w:szCs w:val="24"/>
          <w:lang w:eastAsia="ro-RO"/>
        </w:rPr>
        <w:t xml:space="preserve">n ipoteza în care instanţa va aprecia că reclamantul nu avea obligaţia de a formula pretenţiile în termen de 3 ani de la data producerii accidentului, recurenta-pârâtă a opinat că reclamantul avea obligaţia să formuleze acţiunea în termen de 3 ani de la momentul emiterii rezoluţiei de clasare a prim procurorului Parchetului de pe lângă Judecătoria Turda din data de 14.04.2011, pronunţată în dosarul nr. x/P/2008, prin care s-a stabilit intervenţia prescrierii răspunderii penale a eventualelor persoane vinovate pentru producerea accidentului. </w:t>
      </w:r>
    </w:p>
    <w:p w14:paraId="3776FE54"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O altă critică a recurentei-pârâte a fost cea privind aplicarea greşită a prevederilor art. 1000 alin. (3) din Codul civil de la 1864, arătând că în Procesul-verbal de cercetare încheiat de I.T.M. Cluj, sub nr. 627/2006 - necontestat de părţi – s-a reţinut ignorarea de către reclamant a pericolului staţionării în preajma calupului, ceea ce contravine art. 19 din Legea nr. 90/1996, republicată, iar din declaraţiile martorilor, a reieşit conduita neconformă a reclamantului A. în momentul producerii accidentului, însă nicio instanţă nu a analizat culpa reclamantului.</w:t>
      </w:r>
    </w:p>
    <w:p w14:paraId="20A1019B" w14:textId="0D0DBD94" w:rsidR="004A23F6" w:rsidRPr="00250C7F" w:rsidRDefault="004A23F6" w:rsidP="00100420">
      <w:pPr>
        <w:spacing w:after="0" w:line="276" w:lineRule="auto"/>
        <w:ind w:firstLine="709"/>
        <w:jc w:val="both"/>
        <w:rPr>
          <w:rFonts w:ascii="Times New Roman" w:eastAsia="Calibri" w:hAnsi="Times New Roman" w:cs="Times New Roman"/>
          <w:bCs/>
          <w:sz w:val="24"/>
          <w:szCs w:val="24"/>
          <w:lang w:eastAsia="ro-RO"/>
        </w:rPr>
      </w:pPr>
      <w:r w:rsidRPr="00250C7F">
        <w:rPr>
          <w:rFonts w:ascii="Times New Roman" w:eastAsia="Calibri" w:hAnsi="Times New Roman" w:cs="Times New Roman"/>
          <w:bCs/>
          <w:sz w:val="24"/>
          <w:szCs w:val="24"/>
          <w:lang w:eastAsia="ro-RO"/>
        </w:rPr>
        <w:t>În opinia recurentei-pârâte, din această perspectivă, se impunea a se stabili în ce măsură culpa reclamantului este de natură a înlătura răspunderea oricăror alte persoane, implicit a societăţii, cu privire la producerea prejudiciului şi, în al doilea rând, în ipoteza reţinerii culpei altor persoane şi, implic</w:t>
      </w:r>
      <w:r w:rsidR="00100420" w:rsidRPr="00250C7F">
        <w:rPr>
          <w:rFonts w:ascii="Times New Roman" w:eastAsia="Calibri" w:hAnsi="Times New Roman" w:cs="Times New Roman"/>
          <w:bCs/>
          <w:sz w:val="24"/>
          <w:szCs w:val="24"/>
          <w:lang w:eastAsia="ro-RO"/>
        </w:rPr>
        <w:t xml:space="preserve">it, a societăţii pârâte, </w:t>
      </w:r>
      <w:r w:rsidRPr="00250C7F">
        <w:rPr>
          <w:rFonts w:ascii="Times New Roman" w:eastAsia="Calibri" w:hAnsi="Times New Roman" w:cs="Times New Roman"/>
          <w:bCs/>
          <w:sz w:val="24"/>
          <w:szCs w:val="24"/>
          <w:lang w:eastAsia="ro-RO"/>
        </w:rPr>
        <w:t>să se stabilească care este modalitatea de cuantificare şi care este procentul de culpă al fiecăruia.</w:t>
      </w:r>
    </w:p>
    <w:p w14:paraId="5BC757F8"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În continuare, recurenta-pârâtă a invocat încălcarea principiului judecării în echitate, prevăzut de art. 5 alin. (3) Cod procedură civilă, </w:t>
      </w:r>
      <w:r w:rsidRPr="00250C7F">
        <w:rPr>
          <w:rFonts w:ascii="Times New Roman" w:eastAsia="Calibri" w:hAnsi="Times New Roman" w:cs="Times New Roman"/>
          <w:iCs/>
          <w:sz w:val="24"/>
          <w:szCs w:val="24"/>
          <w:lang w:eastAsia="ro-RO"/>
        </w:rPr>
        <w:t xml:space="preserve">prin stabilirea unor daune morale în cuantum de 400.000 euro în favoarea reclamantului A., din perspectiva caracterului exorbitant al sumei acordate, dar şi raportat la suma acordată de instanţa de fond. </w:t>
      </w:r>
    </w:p>
    <w:p w14:paraId="0986BBEF" w14:textId="77777777" w:rsidR="004A23F6" w:rsidRPr="00250C7F" w:rsidRDefault="004A23F6" w:rsidP="004A23F6">
      <w:pPr>
        <w:spacing w:after="0" w:line="276" w:lineRule="auto"/>
        <w:ind w:firstLine="709"/>
        <w:jc w:val="both"/>
        <w:rPr>
          <w:rFonts w:ascii="Times New Roman" w:eastAsia="Calibri" w:hAnsi="Times New Roman" w:cs="Times New Roman"/>
          <w:bCs/>
          <w:sz w:val="24"/>
          <w:szCs w:val="24"/>
          <w:lang w:eastAsia="ro-RO"/>
        </w:rPr>
      </w:pPr>
      <w:r w:rsidRPr="00250C7F">
        <w:rPr>
          <w:rFonts w:ascii="Times New Roman" w:eastAsia="Calibri" w:hAnsi="Times New Roman" w:cs="Times New Roman"/>
          <w:sz w:val="24"/>
          <w:szCs w:val="24"/>
          <w:lang w:eastAsia="ro-RO"/>
        </w:rPr>
        <w:t xml:space="preserve">La 28.01.2020, prin poştă, recurenta-pârâtă a transmis o cerere de completare a motivelor de recurs, întemeiată pe dispoziţiile art. 488 alin. (1) pct. 3 Cod procedură civilă, prin care a solicitat admiterea recursului, casarea în totalitate a deciziei atacate, respectiv a sentinţei civile nr. 54/2019, a încheierii civile nr. 53 din 3.02.2017 şi a încheierii civile pronunţate la data de 20.04.2016, pronunţate de Tribunalul Cluj şi trimiterea cauzei, </w:t>
      </w:r>
      <w:r w:rsidRPr="00250C7F">
        <w:rPr>
          <w:rFonts w:ascii="Times New Roman" w:eastAsia="Calibri" w:hAnsi="Times New Roman" w:cs="Times New Roman"/>
          <w:iCs/>
          <w:sz w:val="24"/>
          <w:szCs w:val="24"/>
          <w:lang w:eastAsia="ro-RO"/>
        </w:rPr>
        <w:t xml:space="preserve">în principal, </w:t>
      </w:r>
      <w:r w:rsidRPr="00250C7F">
        <w:rPr>
          <w:rFonts w:ascii="Times New Roman" w:eastAsia="Calibri" w:hAnsi="Times New Roman" w:cs="Times New Roman"/>
          <w:sz w:val="24"/>
          <w:szCs w:val="24"/>
          <w:lang w:eastAsia="ro-RO"/>
        </w:rPr>
        <w:t xml:space="preserve">Tribunalului Cluj - Secţia mixtă de contencios administrativ, conflicte de muncă şi asigurări sociale, spre rejudecare; solicitând a se dispune, </w:t>
      </w:r>
      <w:r w:rsidRPr="00250C7F">
        <w:rPr>
          <w:rFonts w:ascii="Times New Roman" w:eastAsia="Calibri" w:hAnsi="Times New Roman" w:cs="Times New Roman"/>
          <w:iCs/>
          <w:sz w:val="24"/>
          <w:szCs w:val="24"/>
          <w:lang w:eastAsia="ro-RO"/>
        </w:rPr>
        <w:t xml:space="preserve">pe cale de excepţie, </w:t>
      </w:r>
      <w:r w:rsidRPr="00250C7F">
        <w:rPr>
          <w:rFonts w:ascii="Times New Roman" w:eastAsia="Calibri" w:hAnsi="Times New Roman" w:cs="Times New Roman"/>
          <w:sz w:val="24"/>
          <w:szCs w:val="24"/>
          <w:lang w:eastAsia="ro-RO"/>
        </w:rPr>
        <w:t xml:space="preserve">respingerea acţiunii precizate, ca prescrisă, iar </w:t>
      </w:r>
      <w:r w:rsidRPr="00250C7F">
        <w:rPr>
          <w:rFonts w:ascii="Times New Roman" w:eastAsia="Calibri" w:hAnsi="Times New Roman" w:cs="Times New Roman"/>
          <w:iCs/>
          <w:sz w:val="24"/>
          <w:szCs w:val="24"/>
          <w:lang w:eastAsia="ro-RO"/>
        </w:rPr>
        <w:t xml:space="preserve">pe fond, </w:t>
      </w:r>
      <w:r w:rsidRPr="00250C7F">
        <w:rPr>
          <w:rFonts w:ascii="Times New Roman" w:eastAsia="Calibri" w:hAnsi="Times New Roman" w:cs="Times New Roman"/>
          <w:sz w:val="24"/>
          <w:szCs w:val="24"/>
          <w:lang w:eastAsia="ro-RO"/>
        </w:rPr>
        <w:t>respingerea acţiunii precizate, ca nefondată;</w:t>
      </w:r>
      <w:r w:rsidRPr="00250C7F">
        <w:rPr>
          <w:rFonts w:ascii="Times New Roman" w:eastAsia="Times New Roman" w:hAnsi="Times New Roman" w:cs="Times New Roman"/>
          <w:b/>
          <w:bCs/>
          <w:iCs/>
          <w:sz w:val="24"/>
          <w:szCs w:val="24"/>
          <w:lang w:eastAsia="ro-RO"/>
        </w:rPr>
        <w:t xml:space="preserve"> </w:t>
      </w:r>
      <w:r w:rsidRPr="00250C7F">
        <w:rPr>
          <w:rFonts w:ascii="Times New Roman" w:eastAsia="Calibri" w:hAnsi="Times New Roman" w:cs="Times New Roman"/>
          <w:bCs/>
          <w:iCs/>
          <w:sz w:val="24"/>
          <w:szCs w:val="24"/>
          <w:lang w:eastAsia="ro-RO"/>
        </w:rPr>
        <w:t xml:space="preserve">în subsidiar, </w:t>
      </w:r>
      <w:r w:rsidRPr="00250C7F">
        <w:rPr>
          <w:rFonts w:ascii="Times New Roman" w:eastAsia="Calibri" w:hAnsi="Times New Roman" w:cs="Times New Roman"/>
          <w:bCs/>
          <w:sz w:val="24"/>
          <w:szCs w:val="24"/>
          <w:lang w:eastAsia="ro-RO"/>
        </w:rPr>
        <w:t xml:space="preserve">Tribunalului Cluj - Secţia civilă, spre rejudecare, solicitând a se dispune, </w:t>
      </w:r>
      <w:r w:rsidRPr="00250C7F">
        <w:rPr>
          <w:rFonts w:ascii="Times New Roman" w:eastAsia="Calibri" w:hAnsi="Times New Roman" w:cs="Times New Roman"/>
          <w:iCs/>
          <w:sz w:val="24"/>
          <w:szCs w:val="24"/>
          <w:lang w:eastAsia="ro-RO"/>
        </w:rPr>
        <w:t xml:space="preserve">pe cale de excepţie, </w:t>
      </w:r>
      <w:r w:rsidRPr="00250C7F">
        <w:rPr>
          <w:rFonts w:ascii="Times New Roman" w:eastAsia="Calibri" w:hAnsi="Times New Roman" w:cs="Times New Roman"/>
          <w:bCs/>
          <w:sz w:val="24"/>
          <w:szCs w:val="24"/>
          <w:lang w:eastAsia="ro-RO"/>
        </w:rPr>
        <w:t xml:space="preserve">anularea acţiunii precizate, ca netimbrată, iar, în subsidiar, respingerea acţiunii precizate, ca prescrisă; </w:t>
      </w:r>
      <w:r w:rsidRPr="00250C7F">
        <w:rPr>
          <w:rFonts w:ascii="Times New Roman" w:eastAsia="Calibri" w:hAnsi="Times New Roman" w:cs="Times New Roman"/>
          <w:bCs/>
          <w:iCs/>
          <w:sz w:val="24"/>
          <w:szCs w:val="24"/>
          <w:lang w:eastAsia="ro-RO"/>
        </w:rPr>
        <w:t xml:space="preserve">pe fond, a solicitat </w:t>
      </w:r>
      <w:r w:rsidRPr="00250C7F">
        <w:rPr>
          <w:rFonts w:ascii="Times New Roman" w:eastAsia="Calibri" w:hAnsi="Times New Roman" w:cs="Times New Roman"/>
          <w:bCs/>
          <w:sz w:val="24"/>
          <w:szCs w:val="24"/>
          <w:lang w:eastAsia="ro-RO"/>
        </w:rPr>
        <w:t xml:space="preserve">respingerea acţiunii precizate, ca nefondată, iar în cazul admiterii acesteia, admiterea cererii de chemare în garanţie a intimatei- pârâte SC H. </w:t>
      </w:r>
      <w:r w:rsidRPr="00250C7F">
        <w:rPr>
          <w:rFonts w:ascii="Times New Roman" w:eastAsia="Calibri" w:hAnsi="Times New Roman" w:cs="Times New Roman"/>
          <w:sz w:val="24"/>
          <w:szCs w:val="24"/>
          <w:lang w:eastAsia="ro-RO"/>
        </w:rPr>
        <w:t>SA.</w:t>
      </w:r>
    </w:p>
    <w:p w14:paraId="10E47673"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În susţinerea acestei cereri completatoare, recurenta-pârâtă a învederat că potrivit dispoziţiilor art. 269 </w:t>
      </w:r>
      <w:r w:rsidRPr="00250C7F">
        <w:rPr>
          <w:rFonts w:ascii="Times New Roman" w:eastAsia="Calibri" w:hAnsi="Times New Roman" w:cs="Times New Roman"/>
          <w:bCs/>
          <w:sz w:val="24"/>
          <w:szCs w:val="24"/>
          <w:lang w:eastAsia="ro-RO"/>
        </w:rPr>
        <w:t xml:space="preserve">din Codul muncii, în </w:t>
      </w:r>
      <w:r w:rsidRPr="00250C7F">
        <w:rPr>
          <w:rFonts w:ascii="Times New Roman" w:eastAsia="Calibri" w:hAnsi="Times New Roman" w:cs="Times New Roman"/>
          <w:sz w:val="24"/>
          <w:szCs w:val="24"/>
          <w:lang w:eastAsia="ro-RO"/>
        </w:rPr>
        <w:t xml:space="preserve">vigoare la data promovării acţiunii ce face obiectul prezentei cauze, judecarea conflictelor de muncă este de competenta instanţelor judecătoreşti, stabilite potrivit legii, iar cererile se adresează instanţei competente în a cărei circumscripţie reclamantul îşi are domiciliul sau reşedinţa ori, după caz, sediul, iar potrivit </w:t>
      </w:r>
      <w:r w:rsidRPr="00250C7F">
        <w:rPr>
          <w:rFonts w:ascii="Times New Roman" w:eastAsia="Calibri" w:hAnsi="Times New Roman" w:cs="Times New Roman"/>
          <w:bCs/>
          <w:sz w:val="24"/>
          <w:szCs w:val="24"/>
          <w:lang w:eastAsia="ro-RO"/>
        </w:rPr>
        <w:t xml:space="preserve">art. </w:t>
      </w:r>
      <w:r w:rsidRPr="00250C7F">
        <w:rPr>
          <w:rFonts w:ascii="Times New Roman" w:eastAsia="Calibri" w:hAnsi="Times New Roman" w:cs="Times New Roman"/>
          <w:sz w:val="24"/>
          <w:szCs w:val="24"/>
          <w:lang w:eastAsia="ro-RO"/>
        </w:rPr>
        <w:t xml:space="preserve">55 </w:t>
      </w:r>
      <w:r w:rsidRPr="00250C7F">
        <w:rPr>
          <w:rFonts w:ascii="Times New Roman" w:eastAsia="Calibri" w:hAnsi="Times New Roman" w:cs="Times New Roman"/>
          <w:bCs/>
          <w:sz w:val="24"/>
          <w:szCs w:val="24"/>
          <w:lang w:eastAsia="ro-RO"/>
        </w:rPr>
        <w:t xml:space="preserve">alin. (1) din Legea nr. 304/2004, </w:t>
      </w:r>
      <w:r w:rsidRPr="00250C7F">
        <w:rPr>
          <w:rFonts w:ascii="Times New Roman" w:eastAsia="Calibri" w:hAnsi="Times New Roman" w:cs="Times New Roman"/>
          <w:sz w:val="24"/>
          <w:szCs w:val="24"/>
          <w:lang w:eastAsia="ro-RO"/>
        </w:rPr>
        <w:t>completul pentru soluţionare, în primă instanţă, a cauzelor privind conflictele de muncă şi asigurări sociale se constituie din 2 judecători şi 2 asistenţi judiciari.</w:t>
      </w:r>
    </w:p>
    <w:p w14:paraId="27A0DD37"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lastRenderedPageBreak/>
        <w:t xml:space="preserve">A mai arătat că normele care reglementează competenţa funcţională a instanţelor judecătoreşti, în speţă a Tribunalului Cluj, sunt </w:t>
      </w:r>
      <w:r w:rsidRPr="00250C7F">
        <w:rPr>
          <w:rFonts w:ascii="Times New Roman" w:eastAsia="Calibri" w:hAnsi="Times New Roman" w:cs="Times New Roman"/>
          <w:bCs/>
          <w:sz w:val="24"/>
          <w:szCs w:val="24"/>
          <w:lang w:eastAsia="ro-RO"/>
        </w:rPr>
        <w:t xml:space="preserve">de ordine publică, </w:t>
      </w:r>
      <w:r w:rsidRPr="00250C7F">
        <w:rPr>
          <w:rFonts w:ascii="Times New Roman" w:eastAsia="Calibri" w:hAnsi="Times New Roman" w:cs="Times New Roman"/>
          <w:sz w:val="24"/>
          <w:szCs w:val="24"/>
          <w:lang w:eastAsia="ro-RO"/>
        </w:rPr>
        <w:t xml:space="preserve">întrucât privesc ordinea de drept şi administrarea justiţiei, motiv pentru care, având în vedere şi prevederile art. </w:t>
      </w:r>
      <w:r w:rsidRPr="00250C7F">
        <w:rPr>
          <w:rFonts w:ascii="Times New Roman" w:eastAsia="Calibri" w:hAnsi="Times New Roman" w:cs="Times New Roman"/>
          <w:bCs/>
          <w:sz w:val="24"/>
          <w:szCs w:val="24"/>
          <w:lang w:eastAsia="ro-RO"/>
        </w:rPr>
        <w:t xml:space="preserve">130 </w:t>
      </w:r>
      <w:r w:rsidRPr="00250C7F">
        <w:rPr>
          <w:rFonts w:ascii="Times New Roman" w:eastAsia="Calibri" w:hAnsi="Times New Roman" w:cs="Times New Roman"/>
          <w:sz w:val="24"/>
          <w:szCs w:val="24"/>
          <w:lang w:eastAsia="ro-RO"/>
        </w:rPr>
        <w:t xml:space="preserve">coroborat cu </w:t>
      </w:r>
      <w:r w:rsidRPr="00250C7F">
        <w:rPr>
          <w:rFonts w:ascii="Times New Roman" w:eastAsia="Calibri" w:hAnsi="Times New Roman" w:cs="Times New Roman"/>
          <w:bCs/>
          <w:sz w:val="24"/>
          <w:szCs w:val="24"/>
          <w:lang w:eastAsia="ro-RO"/>
        </w:rPr>
        <w:t xml:space="preserve">art. 136 Cod procedură civilă, </w:t>
      </w:r>
      <w:r w:rsidRPr="00250C7F">
        <w:rPr>
          <w:rFonts w:ascii="Times New Roman" w:eastAsia="Calibri" w:hAnsi="Times New Roman" w:cs="Times New Roman"/>
          <w:sz w:val="24"/>
          <w:szCs w:val="24"/>
          <w:lang w:eastAsia="ro-RO"/>
        </w:rPr>
        <w:t>problema competenţei funcţionale se impune a fi analizată cu prioritate, încălcarea acesteia atrăgând după sine casarea în totalitate a hotărârilor judecătoreşti pronunţate în cauză.</w:t>
      </w:r>
    </w:p>
    <w:p w14:paraId="61534CBD"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Curtea de Apel Cluj-Napoca, prin regulator de competenţă, a tranşat parţial problema competenţei instanţei judecătoreşti menite a soluţiona prezenta cauză, această instanţă statuând însă doar cu privire la natura civilă a cauzei, în raport cu una comercială, astfel cum a susţinut asigurătorul introdus în cauză, fără a se avea în vedere natura de litigiu de dreptul muncii </w:t>
      </w:r>
      <w:r w:rsidRPr="00250C7F">
        <w:rPr>
          <w:rFonts w:ascii="Times New Roman" w:eastAsia="Calibri" w:hAnsi="Times New Roman" w:cs="Times New Roman"/>
          <w:bCs/>
          <w:sz w:val="24"/>
          <w:szCs w:val="24"/>
          <w:lang w:eastAsia="ro-RO"/>
        </w:rPr>
        <w:t xml:space="preserve">a </w:t>
      </w:r>
      <w:r w:rsidRPr="00250C7F">
        <w:rPr>
          <w:rFonts w:ascii="Times New Roman" w:eastAsia="Calibri" w:hAnsi="Times New Roman" w:cs="Times New Roman"/>
          <w:sz w:val="24"/>
          <w:szCs w:val="24"/>
          <w:lang w:eastAsia="ro-RO"/>
        </w:rPr>
        <w:t>acesteia.</w:t>
      </w:r>
    </w:p>
    <w:p w14:paraId="53B3CC9F"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Astfel, </w:t>
      </w:r>
      <w:r w:rsidRPr="00250C7F">
        <w:rPr>
          <w:rFonts w:ascii="Times New Roman" w:eastAsia="Calibri" w:hAnsi="Times New Roman" w:cs="Times New Roman"/>
          <w:bCs/>
          <w:sz w:val="24"/>
          <w:szCs w:val="24"/>
          <w:lang w:eastAsia="ro-RO"/>
        </w:rPr>
        <w:t>normele speciale care reglementează procedura de soluţionare a litigiilor derivând din raporturile de muncă nu s-au aplicat, prezenta cauză fiind soluţionată pe baza normelor procesuale de drept comun.</w:t>
      </w:r>
    </w:p>
    <w:p w14:paraId="33BDC10F"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Concluzionând, recurenta-pârâtă a învederat că litigiul de faţă se impune a fi tranşat de Tribunalul Cluj - Secţia mixtă de contencios administrativ, conflicte de muncă şi asigurări sociale, cu aplicarea normelor speciale de procedură, respectiv incidenţa căilor de atac speciale, motiv pentru care a solicitat, în principal, admiterea excepţiei necompetenţei instanţelor care s-au pronunţat în cauză şi trimiterea acesteia spre rejudecare instanţei competente anterior  indicate.</w:t>
      </w:r>
    </w:p>
    <w:p w14:paraId="11A4395D" w14:textId="77777777" w:rsidR="004A23F6" w:rsidRPr="00250C7F" w:rsidRDefault="004A23F6" w:rsidP="004A23F6">
      <w:pPr>
        <w:spacing w:line="276" w:lineRule="auto"/>
        <w:ind w:firstLine="709"/>
        <w:contextualSpacing/>
        <w:jc w:val="both"/>
        <w:rPr>
          <w:rFonts w:ascii="Times New Roman" w:eastAsia="Calibri" w:hAnsi="Times New Roman" w:cs="Times New Roman"/>
          <w:i/>
          <w:sz w:val="24"/>
          <w:szCs w:val="24"/>
          <w:lang w:eastAsia="ro-RO"/>
        </w:rPr>
      </w:pPr>
      <w:r w:rsidRPr="00250C7F">
        <w:rPr>
          <w:rFonts w:ascii="Times New Roman" w:eastAsia="Calibri" w:hAnsi="Times New Roman" w:cs="Times New Roman"/>
          <w:i/>
          <w:sz w:val="24"/>
          <w:szCs w:val="24"/>
          <w:lang w:eastAsia="ro-RO"/>
        </w:rPr>
        <w:t xml:space="preserve">Recursul depus de recurentul-pârât C.: </w:t>
      </w:r>
    </w:p>
    <w:p w14:paraId="64396140"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Prin cererea de recurs, întemeiată pe dispoziţiile art.488 alin. (1) pct. 3 şi pct. 8 Cod procedură civilă, recurentul-pârât C. a solicitat admiterea recursului declarat împotriva deciziei civile nr. 287/A/2019, pronunţată de Curtea de Apel Cluj – Secţia I civilă, şi rejudecând pe fond cauza, să se dispună casarea sentinţei civile nr. 54 din 1.02.2019.</w:t>
      </w:r>
    </w:p>
    <w:p w14:paraId="0854C47F"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În principal, recurentul-pârât a solicitat, în temeiul art. 488 alin. (1) pct. 3 Cod procedură civilă, admiterea excepţiei necompetenţei materiale a instanţelor de drept civil în judecarea prezentei cauzei, casarea hotărârii atacate cu consecinţa trimiterii cauzei, spre rejudecare, la instanţa de fond, respectiv Tribunalul Cluj- secţia specializată de dreptul muncii, iar, în subsidiar, în ipoteza în care se va respinge excepţia necompetenţei materiale a instanţelor civile, a solicitat admiterea recursului cu consecinţa casării deciziei civile nr. 287/A/2019, pronunţată de Curtea de Apel Cluj şi, rejudecând cauza, a solicitat admiterea apelului declarat de pârât împotriva sentinţei civile nr. 54 din 1.02.2019 şi respingerea apelului declarat de reclamantul A.</w:t>
      </w:r>
    </w:p>
    <w:p w14:paraId="073EE53F" w14:textId="2FDAA2C2" w:rsidR="004A23F6" w:rsidRPr="00250C7F" w:rsidRDefault="004A23F6" w:rsidP="00262F7B">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Recurentul-pârât a solicitat, pe cale de excepţie, admiterea excepţiei netimbrării, iar ipoteza în care instanţa</w:t>
      </w:r>
      <w:r w:rsidR="00262F7B" w:rsidRPr="00250C7F">
        <w:rPr>
          <w:rFonts w:ascii="Times New Roman" w:eastAsia="Calibri" w:hAnsi="Times New Roman" w:cs="Times New Roman"/>
          <w:sz w:val="24"/>
          <w:szCs w:val="24"/>
          <w:lang w:eastAsia="ro-RO"/>
        </w:rPr>
        <w:t xml:space="preserve"> </w:t>
      </w:r>
      <w:r w:rsidRPr="00250C7F">
        <w:rPr>
          <w:rFonts w:ascii="Times New Roman" w:eastAsia="Calibri" w:hAnsi="Times New Roman" w:cs="Times New Roman"/>
          <w:sz w:val="24"/>
          <w:szCs w:val="24"/>
          <w:lang w:eastAsia="ro-RO"/>
        </w:rPr>
        <w:t xml:space="preserve">va respinge această excepţie, a solicitat admiterea recursului şi, în rejudecare, admiterea apelului, cu consecinţa respingerii acţiunii introductive, ca urmare a admiterii excepţiei prescripţiei dreptului reclamantului la acţiune; pe fondul cauzei, a solicitat respingerea acţiunii, ca netemeinică şi nelegală. </w:t>
      </w:r>
    </w:p>
    <w:p w14:paraId="12ED46AE"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În ipoteza admiterii acţiunii reclamantului, recurentul-pârât C. a solicitat obligarea chematului în garanţie – societatea de asigurări, la plata sumelor stabilite de către instanţă.</w:t>
      </w:r>
    </w:p>
    <w:p w14:paraId="33BD3BCE"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bCs/>
          <w:sz w:val="24"/>
          <w:szCs w:val="24"/>
        </w:rPr>
      </w:pPr>
      <w:r w:rsidRPr="00250C7F">
        <w:rPr>
          <w:rFonts w:ascii="Times New Roman" w:eastAsia="Times New Roman" w:hAnsi="Times New Roman" w:cs="Times New Roman"/>
          <w:sz w:val="24"/>
          <w:szCs w:val="24"/>
          <w:lang w:eastAsia="ro-RO"/>
        </w:rPr>
        <w:t>În susţinerea motivului de recurs prevăzut de art. 488 alin. (1) pct. 3 Cod procedură civilă, recurentul-pârât a arătat că decizia Curţii de Apel Cluj – Secţia I civilă şi sentinţa Tribunalului Cluj – Secţia civilă sunt pronunţate de instanţe ne</w:t>
      </w:r>
      <w:r w:rsidRPr="00250C7F">
        <w:rPr>
          <w:rFonts w:ascii="Times New Roman" w:eastAsia="Times New Roman" w:hAnsi="Times New Roman" w:cs="Times New Roman"/>
          <w:sz w:val="24"/>
          <w:szCs w:val="24"/>
        </w:rPr>
        <w:t xml:space="preserve">competente material, </w:t>
      </w:r>
      <w:r w:rsidRPr="00250C7F">
        <w:rPr>
          <w:rFonts w:ascii="Times New Roman" w:eastAsia="Times New Roman" w:hAnsi="Times New Roman" w:cs="Times New Roman"/>
          <w:spacing w:val="-3"/>
          <w:sz w:val="24"/>
          <w:szCs w:val="24"/>
        </w:rPr>
        <w:t xml:space="preserve">instanţele competente fiind cele de dreptul muncii, iar procedura </w:t>
      </w:r>
      <w:r w:rsidRPr="00250C7F">
        <w:rPr>
          <w:rFonts w:ascii="Times New Roman" w:eastAsia="Times New Roman" w:hAnsi="Times New Roman" w:cs="Times New Roman"/>
          <w:sz w:val="24"/>
          <w:szCs w:val="24"/>
        </w:rPr>
        <w:t xml:space="preserve">de urmat este procedura specială, prevăzută de Codul Muncii, </w:t>
      </w:r>
      <w:r w:rsidRPr="00250C7F">
        <w:rPr>
          <w:rFonts w:ascii="Times New Roman" w:eastAsia="Times New Roman" w:hAnsi="Times New Roman" w:cs="Times New Roman"/>
          <w:bCs/>
          <w:sz w:val="24"/>
          <w:szCs w:val="24"/>
        </w:rPr>
        <w:t xml:space="preserve">ceea ce determină casarea hotărârii atacate cu consecinţa trimiterii cauzei spre rejudecare la </w:t>
      </w:r>
      <w:r w:rsidRPr="00250C7F">
        <w:rPr>
          <w:rFonts w:ascii="Times New Roman" w:eastAsia="Times New Roman" w:hAnsi="Times New Roman" w:cs="Times New Roman"/>
          <w:bCs/>
          <w:sz w:val="24"/>
          <w:szCs w:val="24"/>
        </w:rPr>
        <w:lastRenderedPageBreak/>
        <w:t xml:space="preserve">instanţa de </w:t>
      </w:r>
      <w:r w:rsidRPr="00250C7F">
        <w:rPr>
          <w:rFonts w:ascii="Times New Roman" w:eastAsia="Times New Roman" w:hAnsi="Times New Roman" w:cs="Times New Roman"/>
          <w:bCs/>
          <w:spacing w:val="-4"/>
          <w:sz w:val="24"/>
          <w:szCs w:val="24"/>
        </w:rPr>
        <w:t xml:space="preserve">fond, competentă material, respectiv la Tribunalul Cluj- secţia litigii de </w:t>
      </w:r>
      <w:r w:rsidRPr="00250C7F">
        <w:rPr>
          <w:rFonts w:ascii="Times New Roman" w:eastAsia="Times New Roman" w:hAnsi="Times New Roman" w:cs="Times New Roman"/>
          <w:bCs/>
          <w:sz w:val="24"/>
          <w:szCs w:val="24"/>
        </w:rPr>
        <w:t>muncă.</w:t>
      </w:r>
    </w:p>
    <w:p w14:paraId="7DAC2952"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 xml:space="preserve">În argumentarea motivului de casare prevăzut de art. </w:t>
      </w:r>
      <w:r w:rsidRPr="00250C7F">
        <w:rPr>
          <w:rFonts w:ascii="Times New Roman" w:eastAsia="Times New Roman" w:hAnsi="Times New Roman" w:cs="Times New Roman"/>
          <w:spacing w:val="-2"/>
          <w:sz w:val="24"/>
          <w:szCs w:val="24"/>
        </w:rPr>
        <w:t xml:space="preserve">488 alin. (1) pct. 8 Cod procedură civilă, recurentul-pârât a susţinut că hotărârea </w:t>
      </w:r>
      <w:r w:rsidRPr="00250C7F">
        <w:rPr>
          <w:rFonts w:ascii="Times New Roman" w:eastAsia="Times New Roman" w:hAnsi="Times New Roman" w:cs="Times New Roman"/>
          <w:sz w:val="24"/>
          <w:szCs w:val="24"/>
        </w:rPr>
        <w:t>atacată a fost pronunţată cu încălcarea sau aplicarea greşită a normelor de drept material, respectiv a dispoziţiilor art. 29 lit. i) din OUG 80/2013 privind taxele judiciare de timbru.</w:t>
      </w:r>
    </w:p>
    <w:p w14:paraId="50BA26AC"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pacing w:val="-4"/>
          <w:sz w:val="24"/>
          <w:szCs w:val="24"/>
        </w:rPr>
        <w:t xml:space="preserve">În mod greşit, instanţa de fond şi cea din apel au respins excepţia netimbrării, iar remediul este casarea </w:t>
      </w:r>
      <w:r w:rsidRPr="00250C7F">
        <w:rPr>
          <w:rFonts w:ascii="Times New Roman" w:eastAsia="Times New Roman" w:hAnsi="Times New Roman" w:cs="Times New Roman"/>
          <w:spacing w:val="-2"/>
          <w:sz w:val="24"/>
          <w:szCs w:val="24"/>
        </w:rPr>
        <w:t xml:space="preserve">hotărârii, cu consecinţa trimiterii cauzei, spre rejudecare, la instanţa de fond, în vederea </w:t>
      </w:r>
      <w:r w:rsidRPr="00250C7F">
        <w:rPr>
          <w:rFonts w:ascii="Times New Roman" w:eastAsia="Times New Roman" w:hAnsi="Times New Roman" w:cs="Times New Roman"/>
          <w:spacing w:val="-1"/>
          <w:sz w:val="24"/>
          <w:szCs w:val="24"/>
        </w:rPr>
        <w:t>stabilirii taxei judiciare de timbru.</w:t>
      </w:r>
    </w:p>
    <w:p w14:paraId="106A864E"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pacing w:val="-3"/>
          <w:sz w:val="24"/>
          <w:szCs w:val="24"/>
        </w:rPr>
        <w:t>Cu privire la excepţia prescripţiei dreptului la acţiune, recurentul-pârât a arătat că ho</w:t>
      </w:r>
      <w:r w:rsidRPr="00250C7F">
        <w:rPr>
          <w:rFonts w:ascii="Times New Roman" w:eastAsia="Times New Roman" w:hAnsi="Times New Roman" w:cs="Times New Roman"/>
          <w:sz w:val="24"/>
          <w:szCs w:val="24"/>
        </w:rPr>
        <w:t xml:space="preserve">tărârea atacată a fost pronunţată cu </w:t>
      </w:r>
      <w:r w:rsidRPr="00250C7F">
        <w:rPr>
          <w:rFonts w:ascii="Times New Roman" w:eastAsia="Times New Roman" w:hAnsi="Times New Roman" w:cs="Times New Roman"/>
          <w:spacing w:val="-3"/>
          <w:sz w:val="24"/>
          <w:szCs w:val="24"/>
        </w:rPr>
        <w:t xml:space="preserve">încălcarea prevederilor art. 8 alin. (1) din Decretul nr. 167/1958, respectiv, dreptul </w:t>
      </w:r>
      <w:r w:rsidRPr="00250C7F">
        <w:rPr>
          <w:rFonts w:ascii="Times New Roman" w:eastAsia="Times New Roman" w:hAnsi="Times New Roman" w:cs="Times New Roman"/>
          <w:sz w:val="24"/>
          <w:szCs w:val="24"/>
        </w:rPr>
        <w:t xml:space="preserve">la acţiune pentru repararea pagubei pricinuite prin săvârşirea faptei ilicite a început să curgă </w:t>
      </w:r>
      <w:r w:rsidRPr="00250C7F">
        <w:rPr>
          <w:rFonts w:ascii="Times New Roman" w:eastAsia="Times New Roman" w:hAnsi="Times New Roman" w:cs="Times New Roman"/>
          <w:spacing w:val="-3"/>
          <w:sz w:val="24"/>
          <w:szCs w:val="24"/>
        </w:rPr>
        <w:t xml:space="preserve">la data când păgubitul a cunoscut sau trebuia sa cunoască </w:t>
      </w:r>
      <w:r w:rsidRPr="00250C7F">
        <w:rPr>
          <w:rFonts w:ascii="Times New Roman" w:eastAsia="Times New Roman" w:hAnsi="Times New Roman" w:cs="Times New Roman"/>
          <w:sz w:val="24"/>
          <w:szCs w:val="24"/>
        </w:rPr>
        <w:t>atât păgubitul, cât şi pe cel care răspunde de ea; în cauză, dreptul la acţiune s-a născut la 19.07.2005, iar reclamantul a introdus acţiunea la mai bine de 9 ani de la data producerii accidentului, deşi termenul de 3 ani s-a împlinit la 20 iulie 2008.</w:t>
      </w:r>
    </w:p>
    <w:p w14:paraId="61AF0E70"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A mai arătat că prin depunerea plângerii penale împotriva sa, reclamantul ştia cine se face vinovat de săvârşirea faptei, însă nu s-a constituit parte civilă.</w:t>
      </w:r>
    </w:p>
    <w:p w14:paraId="13C9D00F"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pacing w:val="-3"/>
          <w:sz w:val="24"/>
          <w:szCs w:val="24"/>
        </w:rPr>
      </w:pPr>
      <w:r w:rsidRPr="00250C7F">
        <w:rPr>
          <w:rFonts w:ascii="Times New Roman" w:eastAsia="Times New Roman" w:hAnsi="Times New Roman" w:cs="Times New Roman"/>
          <w:sz w:val="24"/>
          <w:szCs w:val="24"/>
        </w:rPr>
        <w:t xml:space="preserve">Recurentul-pârât a susţinut că sentinţa şi decizia atacate încalcă dispoziţiile art. 16 din noul Cod civil, în sensul că, prin acţiune, trebuia stabilit în ce constă vinovăţia pârâtului, precum şi dispoziţiile art. 1 din Legea nr. 346/2002 care prevăd că asigurarea pentru accidente de muncă şi boli profesionale reprezintă o asigurare de persoane, ce face parte din sistemul de asigurări sociale şi care este garantată de stat, iar societatea pârâtă a achitat toate obligaţiile cu privire la asigurările sociale, astfel că aceste daune trebuiau limitate la ceea ce a stabilit legiuitorul.  </w:t>
      </w:r>
    </w:p>
    <w:p w14:paraId="403F7C1B"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iCs/>
          <w:sz w:val="24"/>
          <w:szCs w:val="24"/>
        </w:rPr>
      </w:pPr>
      <w:r w:rsidRPr="00250C7F">
        <w:rPr>
          <w:rFonts w:ascii="Times New Roman" w:eastAsia="Times New Roman" w:hAnsi="Times New Roman" w:cs="Times New Roman"/>
          <w:sz w:val="24"/>
          <w:szCs w:val="24"/>
        </w:rPr>
        <w:t xml:space="preserve">Sub aspectul aplicării legii civile în timp, recurentul-pârât a susţinut că, în mod corect, reclamantul a arătat că sunt aplicabile prevederile art. 998-999 din Codul civil de la 1864, în vigoare la data naşterii raportului juridic, respectiv la 19.07.2005, dată la care erau în vigoare şi prevederile </w:t>
      </w:r>
      <w:r w:rsidRPr="00250C7F">
        <w:rPr>
          <w:rFonts w:ascii="Times New Roman" w:eastAsia="Times New Roman" w:hAnsi="Times New Roman" w:cs="Times New Roman"/>
          <w:iCs/>
          <w:sz w:val="24"/>
          <w:szCs w:val="24"/>
        </w:rPr>
        <w:t>Decretului lege nr.167/1958, cu privire la prescripţia extinctivă.</w:t>
      </w:r>
    </w:p>
    <w:p w14:paraId="5E88FB89"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iCs/>
          <w:sz w:val="24"/>
          <w:szCs w:val="24"/>
        </w:rPr>
      </w:pPr>
      <w:r w:rsidRPr="00250C7F">
        <w:rPr>
          <w:rFonts w:ascii="Times New Roman" w:eastAsia="Times New Roman" w:hAnsi="Times New Roman" w:cs="Times New Roman"/>
          <w:iCs/>
          <w:sz w:val="24"/>
          <w:szCs w:val="24"/>
        </w:rPr>
        <w:t>Cu privire la cadrul procesual, recurentul-pârât a susţinut că, în mod greşit, instanţa de fond a respins pretenţiile pârâţilor şi ale societăţii pârâte împotriva  societăţii de asigurări, întrucât potrivit art. 974 Cod civil de la 1864, faţă de societate, indirect, pârâţii au calitatea de creditori.</w:t>
      </w:r>
    </w:p>
    <w:p w14:paraId="4826ADE8"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iCs/>
          <w:sz w:val="24"/>
          <w:szCs w:val="24"/>
        </w:rPr>
      </w:pPr>
      <w:r w:rsidRPr="00250C7F">
        <w:rPr>
          <w:rFonts w:ascii="Times New Roman" w:eastAsia="Times New Roman" w:hAnsi="Times New Roman" w:cs="Times New Roman"/>
          <w:iCs/>
          <w:sz w:val="24"/>
          <w:szCs w:val="24"/>
        </w:rPr>
        <w:t xml:space="preserve">Pe fondul cauzei, recurentul-pârât a solicitat  admiterea recursului  şi, în rejudecare, admiterea apelului şi respingerea acţiunii ca nefondată, întrucât nu sunt îndeplinite condiţiile răspunderii civile delictuale.       </w:t>
      </w:r>
    </w:p>
    <w:p w14:paraId="0EEA6FC8" w14:textId="77777777" w:rsidR="004A23F6" w:rsidRPr="00250C7F" w:rsidRDefault="004A23F6" w:rsidP="004A23F6">
      <w:pPr>
        <w:spacing w:after="0" w:line="276" w:lineRule="auto"/>
        <w:ind w:firstLine="709"/>
        <w:jc w:val="both"/>
        <w:rPr>
          <w:rFonts w:ascii="Times New Roman" w:eastAsia="Calibri" w:hAnsi="Times New Roman" w:cs="Times New Roman"/>
          <w:i/>
          <w:sz w:val="24"/>
          <w:szCs w:val="24"/>
          <w:lang w:eastAsia="ro-RO"/>
        </w:rPr>
      </w:pPr>
      <w:r w:rsidRPr="00250C7F">
        <w:rPr>
          <w:rFonts w:ascii="Times New Roman" w:eastAsia="Calibri" w:hAnsi="Times New Roman" w:cs="Times New Roman"/>
          <w:i/>
          <w:sz w:val="24"/>
          <w:szCs w:val="24"/>
          <w:lang w:eastAsia="ro-RO"/>
        </w:rPr>
        <w:t xml:space="preserve">Recursul depus de recurentul-pârât F.: </w:t>
      </w:r>
    </w:p>
    <w:p w14:paraId="52CEFE9B"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cererea de recurs, neîntemeiată în drept, recurentul-pârât</w:t>
      </w:r>
      <w:r w:rsidRPr="00250C7F">
        <w:rPr>
          <w:rFonts w:ascii="Times New Roman" w:eastAsia="Times New Roman" w:hAnsi="Times New Roman" w:cs="Times New Roman"/>
          <w:iCs/>
          <w:sz w:val="24"/>
          <w:szCs w:val="24"/>
        </w:rPr>
        <w:t xml:space="preserve"> F. a solicitat schimbarea, în tot, a deciziei civile nr. 287/A/2019, pronunţată de Curtea de Apel Cluj – Secţia I civilă şi respingerea apelului declarat de reclamant, ca fiind netemeinic şi nelegal.</w:t>
      </w:r>
    </w:p>
    <w:p w14:paraId="6A0A6DED"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Prin cererea de recurs, recurentul-pârât a susţinut că, potrivit materialului probator administrat, în mod corect, parchetul a reţinut că, în cauză, doar prejudiciul suferit de reclamant a fost dovedit, nu şi fapta ilicită a pârâtului, vinovăţia acestuia şi raportul de cauzalitate dintre fapta ilicită şi prejudiciu.</w:t>
      </w:r>
    </w:p>
    <w:p w14:paraId="2D281356"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Referitor la daunele morale în cuantum de 400.000 euro acordate reclamantului de către instanţa de apel, recurentul-pârât a considerat că reprezintă o îmbogăţire fără justă cauză a reclamantului.</w:t>
      </w:r>
    </w:p>
    <w:p w14:paraId="757A95D8"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lastRenderedPageBreak/>
        <w:t>La 14.05.2020, recurentul-pârât a depus o completare a motivelor de recurs, prin care a prezentat aspecte cu privire la situaţia de fapt a litigiului.</w:t>
      </w:r>
    </w:p>
    <w:p w14:paraId="7AD363DF" w14:textId="77777777" w:rsidR="004A23F6" w:rsidRPr="00250C7F" w:rsidRDefault="004A23F6" w:rsidP="004A23F6">
      <w:pPr>
        <w:spacing w:after="0" w:line="276" w:lineRule="auto"/>
        <w:ind w:firstLine="851"/>
        <w:contextualSpacing/>
        <w:jc w:val="both"/>
        <w:rPr>
          <w:rFonts w:ascii="Times New Roman" w:eastAsia="Calibri" w:hAnsi="Times New Roman" w:cs="Times New Roman"/>
          <w:i/>
          <w:sz w:val="24"/>
          <w:szCs w:val="24"/>
          <w:lang w:eastAsia="ro-RO"/>
        </w:rPr>
      </w:pPr>
      <w:r w:rsidRPr="00250C7F">
        <w:rPr>
          <w:rFonts w:ascii="Times New Roman" w:eastAsia="Calibri" w:hAnsi="Times New Roman" w:cs="Times New Roman"/>
          <w:i/>
          <w:sz w:val="24"/>
          <w:szCs w:val="24"/>
          <w:lang w:eastAsia="ro-RO"/>
        </w:rPr>
        <w:t xml:space="preserve">Recursul depus de recurenţii-pârâţi O., M., N., succesori ai defunctului pârât G.: </w:t>
      </w:r>
    </w:p>
    <w:p w14:paraId="1AAB4B24" w14:textId="77777777" w:rsidR="004A23F6" w:rsidRPr="00250C7F" w:rsidRDefault="004A23F6" w:rsidP="004A23F6">
      <w:pPr>
        <w:spacing w:after="0" w:line="276" w:lineRule="auto"/>
        <w:ind w:firstLine="360"/>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Prin cererea de recurs, întemeiată pe dispoziţiile art.488 alin. (1) pct. 3 şi pct. 8 Cod procedură civilă, recurenţii-pârâţi au solicitat admiterea recursului declarat împotriva deciziei civile nr. 287/A/2019, pronunţată de Curtea de Apel Cluj – Secţia I civilă, şi rejudecând pe fond cauza, să se dispună casarea sentinţei civile nr. 54/2019.</w:t>
      </w:r>
    </w:p>
    <w:p w14:paraId="386E518F"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În principal, recurenţii-pârâţi au solicitat, în temeiul art. 488 alin. (1) pct. 3 Cod procedură civilă, admiterea excepţiei necompetenţei materiale a instanţelor de drept civil în judecarea prezentei cauzei, casarea hotărârii atacate, cu consecinţa trimiterii cauzei spre rejudecare la instanţa de fond, respectiv Tribunalul Bucureşti- secţia specializată de dreptul muncii, iar, în subsidiar, în ipoteza în care se va respinge excepţia necompetenţei materiale a instanţelor civile, au solicitat admiterea recursului, cu consecinţa casării deciziei civile nr. 287/A/2019, pronunţată de Curtea de Apel Cluj şi, rejudecând cauza, au solicitat admiterea apelului declarat de pârâţi împotriva sentinţei civile nr. 54/2019 şi respingerea apelului declarat de reclamantul A. </w:t>
      </w:r>
    </w:p>
    <w:p w14:paraId="7B3BBE9A"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Recurenţii-pârâţi au solicitat, pe cale de excepţie, admiterea excepţiei netimbrării, iar ipoteza în care instanţa va respinge această excepţie, au solicitat admiterea recursului şi, în rejudecare, admiterea apelului, cu consecinţa respingerii acţiunii introductive, ca urmare a admiterii excepţiei prescripţiei dreptului reclamantului la acţiune.</w:t>
      </w:r>
    </w:p>
    <w:p w14:paraId="3E0C0A1D"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De asemenea, recurenţii-pârâţi au solicitat admiterea excepţiei privind lipsa calităţii procesuale pasive a acestora, considerând că răspunderea profesională, fiind exclusiv a defunctului G., nu poate fi transmisă moştenitorilor; pe fondul cauzei, au solicitat respingerea acţiunii, ca netemeinică şi nelegală. </w:t>
      </w:r>
    </w:p>
    <w:p w14:paraId="6EECD13A"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În ipoteza admiterii acţiunii reclamantului, recurenţii-pârâţi au solicitat obligarea chematului în garanţie – societatea de asigurări, la plata sumelor stabilite de către instanţă.</w:t>
      </w:r>
    </w:p>
    <w:p w14:paraId="0E237DFB" w14:textId="77777777" w:rsidR="004A23F6" w:rsidRPr="00250C7F" w:rsidRDefault="004A23F6" w:rsidP="004A23F6">
      <w:pPr>
        <w:spacing w:after="0" w:line="276" w:lineRule="auto"/>
        <w:ind w:firstLine="709"/>
        <w:jc w:val="both"/>
        <w:rPr>
          <w:rFonts w:ascii="Times New Roman" w:eastAsia="Times New Roman" w:hAnsi="Times New Roman" w:cs="Times New Roman"/>
          <w:bCs/>
          <w:sz w:val="24"/>
          <w:szCs w:val="24"/>
          <w:lang w:eastAsia="ro-RO"/>
        </w:rPr>
      </w:pPr>
      <w:r w:rsidRPr="00250C7F">
        <w:rPr>
          <w:rFonts w:ascii="Times New Roman" w:eastAsia="Calibri" w:hAnsi="Times New Roman" w:cs="Times New Roman"/>
          <w:sz w:val="24"/>
          <w:szCs w:val="24"/>
          <w:lang w:eastAsia="ro-RO"/>
        </w:rPr>
        <w:t>În susţinerea motivului de recurs prevăzut de art. 488 alin. (1) pct. 3 Cod procedură civilă, recurenţii-pârâţi au arătat că decizia Curţii de Apel Cluj – Secţia I civilă şi sentinţa Tribunalului Cluj – Secţia civilă sunt pronunţate de instanţe ne</w:t>
      </w:r>
      <w:r w:rsidRPr="00250C7F">
        <w:rPr>
          <w:rFonts w:ascii="Times New Roman" w:eastAsia="Times New Roman" w:hAnsi="Times New Roman" w:cs="Times New Roman"/>
          <w:sz w:val="24"/>
          <w:szCs w:val="24"/>
          <w:lang w:eastAsia="ro-RO"/>
        </w:rPr>
        <w:t xml:space="preserve">competente material, </w:t>
      </w:r>
      <w:r w:rsidRPr="00250C7F">
        <w:rPr>
          <w:rFonts w:ascii="Times New Roman" w:eastAsia="Times New Roman" w:hAnsi="Times New Roman" w:cs="Times New Roman"/>
          <w:spacing w:val="-3"/>
          <w:sz w:val="24"/>
          <w:szCs w:val="24"/>
          <w:lang w:eastAsia="ro-RO"/>
        </w:rPr>
        <w:t xml:space="preserve">instanţele competente fiind cele de dreptul muncii, iar procedura </w:t>
      </w:r>
      <w:r w:rsidRPr="00250C7F">
        <w:rPr>
          <w:rFonts w:ascii="Times New Roman" w:eastAsia="Times New Roman" w:hAnsi="Times New Roman" w:cs="Times New Roman"/>
          <w:sz w:val="24"/>
          <w:szCs w:val="24"/>
          <w:lang w:eastAsia="ro-RO"/>
        </w:rPr>
        <w:t xml:space="preserve">de urmat, în cazul judecării prezentei cauze, este procedura specială prevăzuta de Codul Muncii, </w:t>
      </w:r>
      <w:r w:rsidRPr="00250C7F">
        <w:rPr>
          <w:rFonts w:ascii="Times New Roman" w:eastAsia="Times New Roman" w:hAnsi="Times New Roman" w:cs="Times New Roman"/>
          <w:bCs/>
          <w:sz w:val="24"/>
          <w:szCs w:val="24"/>
          <w:lang w:eastAsia="ro-RO"/>
        </w:rPr>
        <w:t xml:space="preserve">ceea ce determină casarea hotărârii atacate, cu consecinţa trimiterii cauzei, spre rejudecare, la instanţa de </w:t>
      </w:r>
      <w:r w:rsidRPr="00250C7F">
        <w:rPr>
          <w:rFonts w:ascii="Times New Roman" w:eastAsia="Times New Roman" w:hAnsi="Times New Roman" w:cs="Times New Roman"/>
          <w:bCs/>
          <w:spacing w:val="-4"/>
          <w:sz w:val="24"/>
          <w:szCs w:val="24"/>
          <w:lang w:eastAsia="ro-RO"/>
        </w:rPr>
        <w:t xml:space="preserve">fond, competentă material, respectiv la Tribunalul Cluj- secţia litigii de </w:t>
      </w:r>
      <w:r w:rsidRPr="00250C7F">
        <w:rPr>
          <w:rFonts w:ascii="Times New Roman" w:eastAsia="Times New Roman" w:hAnsi="Times New Roman" w:cs="Times New Roman"/>
          <w:bCs/>
          <w:sz w:val="24"/>
          <w:szCs w:val="24"/>
          <w:lang w:eastAsia="ro-RO"/>
        </w:rPr>
        <w:t>muncă.</w:t>
      </w:r>
    </w:p>
    <w:p w14:paraId="02A4CCD8"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În argumentarea motivului de casare prevăzut de art. </w:t>
      </w:r>
      <w:r w:rsidRPr="00250C7F">
        <w:rPr>
          <w:rFonts w:ascii="Times New Roman" w:eastAsia="Times New Roman" w:hAnsi="Times New Roman" w:cs="Times New Roman"/>
          <w:spacing w:val="-2"/>
          <w:sz w:val="24"/>
          <w:szCs w:val="24"/>
          <w:lang w:eastAsia="ro-RO"/>
        </w:rPr>
        <w:t>488 alin. 1 pct. 8 Cod procedură civilă, recurenţii-pârâţi au susţinut că hotărârea</w:t>
      </w:r>
      <w:r w:rsidRPr="00250C7F">
        <w:rPr>
          <w:rFonts w:ascii="Times New Roman" w:eastAsia="Calibri" w:hAnsi="Times New Roman" w:cs="Times New Roman"/>
          <w:spacing w:val="-2"/>
          <w:sz w:val="24"/>
          <w:szCs w:val="24"/>
          <w:lang w:eastAsia="ro-RO"/>
        </w:rPr>
        <w:t xml:space="preserve"> </w:t>
      </w:r>
      <w:r w:rsidRPr="00250C7F">
        <w:rPr>
          <w:rFonts w:ascii="Times New Roman" w:eastAsia="Calibri" w:hAnsi="Times New Roman" w:cs="Times New Roman"/>
          <w:sz w:val="24"/>
          <w:szCs w:val="24"/>
          <w:lang w:eastAsia="ro-RO"/>
        </w:rPr>
        <w:t>atacată a fost pronunţată cu încălcarea sau aplicarea greşită a normelor de drept material, respectiv a dispoziţiilor art. 29 lit. i) din OUG 80/2013 privind taxele judiciare de timbru.</w:t>
      </w:r>
    </w:p>
    <w:p w14:paraId="075338F6" w14:textId="574332EA" w:rsidR="004A23F6" w:rsidRPr="00250C7F" w:rsidRDefault="004A23F6" w:rsidP="004A23F6">
      <w:pPr>
        <w:spacing w:after="0" w:line="276" w:lineRule="auto"/>
        <w:ind w:firstLine="709"/>
        <w:jc w:val="both"/>
        <w:rPr>
          <w:rFonts w:ascii="Times New Roman" w:eastAsia="Times New Roman" w:hAnsi="Times New Roman" w:cs="Times New Roman"/>
          <w:sz w:val="24"/>
          <w:szCs w:val="24"/>
          <w:lang w:eastAsia="ro-RO"/>
        </w:rPr>
      </w:pPr>
      <w:r w:rsidRPr="00250C7F">
        <w:rPr>
          <w:rFonts w:ascii="Times New Roman" w:eastAsia="Calibri" w:hAnsi="Times New Roman" w:cs="Times New Roman"/>
          <w:spacing w:val="-4"/>
          <w:sz w:val="24"/>
          <w:szCs w:val="24"/>
          <w:lang w:eastAsia="ro-RO"/>
        </w:rPr>
        <w:t xml:space="preserve">În mod greşit, instanţa de fond şi cea din apel au respins excepţia netimbrării, iar remediul în acest caz este casarea </w:t>
      </w:r>
      <w:r w:rsidR="00262F7B" w:rsidRPr="00250C7F">
        <w:rPr>
          <w:rFonts w:ascii="Times New Roman" w:eastAsia="Calibri" w:hAnsi="Times New Roman" w:cs="Times New Roman"/>
          <w:spacing w:val="-2"/>
          <w:sz w:val="24"/>
          <w:szCs w:val="24"/>
          <w:lang w:eastAsia="ro-RO"/>
        </w:rPr>
        <w:t xml:space="preserve">hotărârii, cu consecinţa </w:t>
      </w:r>
      <w:r w:rsidRPr="00250C7F">
        <w:rPr>
          <w:rFonts w:ascii="Times New Roman" w:eastAsia="Calibri" w:hAnsi="Times New Roman" w:cs="Times New Roman"/>
          <w:spacing w:val="-2"/>
          <w:sz w:val="24"/>
          <w:szCs w:val="24"/>
          <w:lang w:eastAsia="ro-RO"/>
        </w:rPr>
        <w:t xml:space="preserve">trimiterii cauzei spre rejudecare la instanţa de fond, în vederea </w:t>
      </w:r>
      <w:r w:rsidRPr="00250C7F">
        <w:rPr>
          <w:rFonts w:ascii="Times New Roman" w:eastAsia="Calibri" w:hAnsi="Times New Roman" w:cs="Times New Roman"/>
          <w:spacing w:val="-1"/>
          <w:sz w:val="24"/>
          <w:szCs w:val="24"/>
          <w:lang w:eastAsia="ro-RO"/>
        </w:rPr>
        <w:t>stabilirii taxei judiciare de timbru.</w:t>
      </w:r>
    </w:p>
    <w:p w14:paraId="1EBCFB94"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Times New Roman" w:hAnsi="Times New Roman" w:cs="Times New Roman"/>
          <w:spacing w:val="-3"/>
          <w:sz w:val="24"/>
          <w:szCs w:val="24"/>
          <w:lang w:eastAsia="ro-RO"/>
        </w:rPr>
        <w:t>Cu privire la excep</w:t>
      </w:r>
      <w:r w:rsidRPr="00250C7F">
        <w:rPr>
          <w:rFonts w:ascii="Times New Roman" w:eastAsia="Calibri" w:hAnsi="Times New Roman" w:cs="Times New Roman"/>
          <w:spacing w:val="-3"/>
          <w:sz w:val="24"/>
          <w:szCs w:val="24"/>
          <w:lang w:eastAsia="ro-RO"/>
        </w:rPr>
        <w:t>ţia prescripţiei dreptului la acţiune, recurenţii-pârâţi au arătat că ho</w:t>
      </w:r>
      <w:r w:rsidRPr="00250C7F">
        <w:rPr>
          <w:rFonts w:ascii="Times New Roman" w:eastAsia="Calibri" w:hAnsi="Times New Roman" w:cs="Times New Roman"/>
          <w:sz w:val="24"/>
          <w:szCs w:val="24"/>
          <w:lang w:eastAsia="ro-RO"/>
        </w:rPr>
        <w:t xml:space="preserve">tărârea atacată a fost pronunţată cu </w:t>
      </w:r>
      <w:r w:rsidRPr="00250C7F">
        <w:rPr>
          <w:rFonts w:ascii="Times New Roman" w:eastAsia="Calibri" w:hAnsi="Times New Roman" w:cs="Times New Roman"/>
          <w:spacing w:val="-3"/>
          <w:sz w:val="24"/>
          <w:szCs w:val="24"/>
          <w:lang w:eastAsia="ro-RO"/>
        </w:rPr>
        <w:t xml:space="preserve">încălcarea prevederilor art. 8 alin. (1) din Decretul nr. 167/1958. Astfel dreptul </w:t>
      </w:r>
      <w:r w:rsidRPr="00250C7F">
        <w:rPr>
          <w:rFonts w:ascii="Times New Roman" w:eastAsia="Calibri" w:hAnsi="Times New Roman" w:cs="Times New Roman"/>
          <w:sz w:val="24"/>
          <w:szCs w:val="24"/>
          <w:lang w:eastAsia="ro-RO"/>
        </w:rPr>
        <w:t xml:space="preserve">la acţiune pentru repararea pagubei pricinuite prin săvârşirea faptei ilicite a început să curgă </w:t>
      </w:r>
      <w:r w:rsidRPr="00250C7F">
        <w:rPr>
          <w:rFonts w:ascii="Times New Roman" w:eastAsia="Calibri" w:hAnsi="Times New Roman" w:cs="Times New Roman"/>
          <w:spacing w:val="-3"/>
          <w:sz w:val="24"/>
          <w:szCs w:val="24"/>
          <w:lang w:eastAsia="ro-RO"/>
        </w:rPr>
        <w:t xml:space="preserve">la data când păgubitul a cunoscut sau trebuia sa cunoască </w:t>
      </w:r>
      <w:r w:rsidRPr="00250C7F">
        <w:rPr>
          <w:rFonts w:ascii="Times New Roman" w:eastAsia="Calibri" w:hAnsi="Times New Roman" w:cs="Times New Roman"/>
          <w:sz w:val="24"/>
          <w:szCs w:val="24"/>
          <w:lang w:eastAsia="ro-RO"/>
        </w:rPr>
        <w:t xml:space="preserve">atât făptuitorul, cât şi pe cel care răspunde de ea; în cauză, dreptul la acţiune s-a născut la 19.07.2005, iar reclamantul a introdus </w:t>
      </w:r>
      <w:r w:rsidRPr="00250C7F">
        <w:rPr>
          <w:rFonts w:ascii="Times New Roman" w:eastAsia="Calibri" w:hAnsi="Times New Roman" w:cs="Times New Roman"/>
          <w:sz w:val="24"/>
          <w:szCs w:val="24"/>
          <w:lang w:eastAsia="ro-RO"/>
        </w:rPr>
        <w:lastRenderedPageBreak/>
        <w:t>acţiunea la mai bine de 9 ani de la data producerii accidentului, deşi termenul de 3 ani s-a împlinit la 20 iulie 2008.</w:t>
      </w:r>
    </w:p>
    <w:p w14:paraId="530C2ECD"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Au mai arătat că, prin depunerea plângerii penale împotriva pârâtului defunct, reclamantul ştia cine se face vinovat de săvârşirea faptei, însă nu s-a constituit parte civilă.</w:t>
      </w:r>
    </w:p>
    <w:p w14:paraId="156C5B75" w14:textId="77777777" w:rsidR="004A23F6" w:rsidRPr="00250C7F" w:rsidRDefault="004A23F6" w:rsidP="004A23F6">
      <w:pPr>
        <w:spacing w:after="0" w:line="276" w:lineRule="auto"/>
        <w:ind w:firstLine="709"/>
        <w:jc w:val="both"/>
        <w:rPr>
          <w:rFonts w:ascii="Times New Roman" w:eastAsia="Calibri" w:hAnsi="Times New Roman" w:cs="Times New Roman"/>
          <w:spacing w:val="-3"/>
          <w:sz w:val="24"/>
          <w:szCs w:val="24"/>
          <w:lang w:eastAsia="ro-RO"/>
        </w:rPr>
      </w:pPr>
      <w:r w:rsidRPr="00250C7F">
        <w:rPr>
          <w:rFonts w:ascii="Times New Roman" w:eastAsia="Calibri" w:hAnsi="Times New Roman" w:cs="Times New Roman"/>
          <w:sz w:val="24"/>
          <w:szCs w:val="24"/>
          <w:lang w:eastAsia="ro-RO"/>
        </w:rPr>
        <w:t xml:space="preserve">Recurenţii-pârâţi au susţinut că sentinţa şi decizia atacate încalcă dispoziţiile art. 16 din noul Cod civil, în sensul că, prin acţiune, trebuia stabilit în ce constă vinovăţia pârâtului, precum şi dispoziţiile art. 1 din Legea nr. 346/2002 care prevăd că asigurarea pentru accidente de muncă şi boli profesionale reprezintă o asigurare de persoane, ce face parte din sistemul de asigurări sociale, şi care este garantată de stat, iar societatea pârâtă a achitat toate obligaţiile cu privire la asigurările sociale, astfel că aceste daune trebuiau limitate la ceea ce a stabilit legiuitorul.  </w:t>
      </w:r>
    </w:p>
    <w:p w14:paraId="78FD65BA" w14:textId="77777777" w:rsidR="004A23F6" w:rsidRPr="00250C7F" w:rsidRDefault="004A23F6" w:rsidP="004A23F6">
      <w:pPr>
        <w:spacing w:after="0" w:line="276" w:lineRule="auto"/>
        <w:ind w:firstLine="709"/>
        <w:jc w:val="both"/>
        <w:rPr>
          <w:rFonts w:ascii="Times New Roman" w:eastAsia="Calibri" w:hAnsi="Times New Roman" w:cs="Times New Roman"/>
          <w:iCs/>
          <w:sz w:val="24"/>
          <w:szCs w:val="24"/>
          <w:lang w:eastAsia="ro-RO"/>
        </w:rPr>
      </w:pPr>
      <w:r w:rsidRPr="00250C7F">
        <w:rPr>
          <w:rFonts w:ascii="Times New Roman" w:eastAsia="Calibri" w:hAnsi="Times New Roman" w:cs="Times New Roman"/>
          <w:sz w:val="24"/>
          <w:szCs w:val="24"/>
          <w:lang w:eastAsia="ro-RO"/>
        </w:rPr>
        <w:t xml:space="preserve">Sub aspectul aplicării legii civile în timp, recurenţii-pârâţi au susţinut că, în mod corect, reclamantul a arătat că sunt aplicabile prevederile art. 998-999 din Codul civil de la 1864, în vigoare la data naşterii raportului juridic, respectiv la 19 iulie 2005, dată la care erau în vigoare şi prevederile </w:t>
      </w:r>
      <w:r w:rsidRPr="00250C7F">
        <w:rPr>
          <w:rFonts w:ascii="Times New Roman" w:eastAsia="Calibri" w:hAnsi="Times New Roman" w:cs="Times New Roman"/>
          <w:iCs/>
          <w:sz w:val="24"/>
          <w:szCs w:val="24"/>
          <w:lang w:eastAsia="ro-RO"/>
        </w:rPr>
        <w:t>Decretului lege nr.167/1958, cu privire la prescripţia extinctivă.</w:t>
      </w:r>
    </w:p>
    <w:p w14:paraId="2C3482B0" w14:textId="77777777" w:rsidR="004A23F6" w:rsidRPr="00250C7F" w:rsidRDefault="004A23F6" w:rsidP="004A23F6">
      <w:pPr>
        <w:spacing w:after="0" w:line="276" w:lineRule="auto"/>
        <w:ind w:firstLine="709"/>
        <w:jc w:val="both"/>
        <w:rPr>
          <w:rFonts w:ascii="Times New Roman" w:eastAsia="Calibri" w:hAnsi="Times New Roman" w:cs="Times New Roman"/>
          <w:iCs/>
          <w:sz w:val="24"/>
          <w:szCs w:val="24"/>
          <w:lang w:eastAsia="ro-RO"/>
        </w:rPr>
      </w:pPr>
      <w:r w:rsidRPr="00250C7F">
        <w:rPr>
          <w:rFonts w:ascii="Times New Roman" w:eastAsia="Calibri" w:hAnsi="Times New Roman" w:cs="Times New Roman"/>
          <w:iCs/>
          <w:sz w:val="24"/>
          <w:szCs w:val="24"/>
          <w:lang w:eastAsia="ro-RO"/>
        </w:rPr>
        <w:t>Cu privire la cadrul procesual, recurenţii-pârâţi au arătat că au calitatea de moştenitori ai pârâtului decedat G., iar răspunderea acestuia a fost una personală, derivată din proceduri de dreptul muncii sau penale; întrucât răspunderea penală este una personală, înseamnă că moştenitorii defunctului nu au calitate procesuală pasivă în cauză.</w:t>
      </w:r>
    </w:p>
    <w:p w14:paraId="758665FD" w14:textId="77777777" w:rsidR="004A23F6" w:rsidRPr="00250C7F" w:rsidRDefault="004A23F6" w:rsidP="004A23F6">
      <w:pPr>
        <w:spacing w:after="0" w:line="276" w:lineRule="auto"/>
        <w:ind w:firstLine="709"/>
        <w:jc w:val="both"/>
        <w:rPr>
          <w:rFonts w:ascii="Times New Roman" w:eastAsia="Calibri" w:hAnsi="Times New Roman" w:cs="Times New Roman"/>
          <w:iCs/>
          <w:sz w:val="24"/>
          <w:szCs w:val="24"/>
          <w:lang w:eastAsia="ro-RO"/>
        </w:rPr>
      </w:pPr>
      <w:r w:rsidRPr="00250C7F">
        <w:rPr>
          <w:rFonts w:ascii="Times New Roman" w:eastAsia="Calibri" w:hAnsi="Times New Roman" w:cs="Times New Roman"/>
          <w:iCs/>
          <w:sz w:val="24"/>
          <w:szCs w:val="24"/>
          <w:lang w:eastAsia="ro-RO"/>
        </w:rPr>
        <w:t>Au mai susţinut că, în mod greşit, instanţa de fond a respins pretenţiile pârâţilor şi ale societăţii pârâte împotriva  societăţii de asigurări, întrucât, potrivit art. 974 Cod civil de la 1864, faţă de societate, pârâţii, indirect, au calitatea de creditori.</w:t>
      </w:r>
    </w:p>
    <w:p w14:paraId="400382C3" w14:textId="77777777" w:rsidR="004A23F6" w:rsidRPr="00250C7F" w:rsidRDefault="004A23F6" w:rsidP="004A23F6">
      <w:pPr>
        <w:spacing w:after="0" w:line="276" w:lineRule="auto"/>
        <w:ind w:firstLine="709"/>
        <w:jc w:val="both"/>
        <w:rPr>
          <w:rFonts w:ascii="Times New Roman" w:eastAsia="Calibri" w:hAnsi="Times New Roman" w:cs="Times New Roman"/>
          <w:iCs/>
          <w:sz w:val="24"/>
          <w:szCs w:val="24"/>
          <w:lang w:eastAsia="ro-RO"/>
        </w:rPr>
      </w:pPr>
      <w:r w:rsidRPr="00250C7F">
        <w:rPr>
          <w:rFonts w:ascii="Times New Roman" w:eastAsia="Calibri" w:hAnsi="Times New Roman" w:cs="Times New Roman"/>
          <w:iCs/>
          <w:sz w:val="24"/>
          <w:szCs w:val="24"/>
          <w:lang w:eastAsia="ro-RO"/>
        </w:rPr>
        <w:t>Cu privire la competenţa instanţelor civile în soluţionarea prezentului litigiu, recurenţii-pârâţi au învederat că excepţia necompetenţei instanţelor civile este o excepţie de ordine publică, care poate fi ridicată oricând, chiar şi în faţa instanţei de recurs, iar acţiunea  trebuia judecată  în baza normelor speciale de dreptul muncii, şi nu în temeiul dreptului comun.</w:t>
      </w:r>
    </w:p>
    <w:p w14:paraId="61BC4363" w14:textId="77777777" w:rsidR="004A23F6" w:rsidRPr="00250C7F" w:rsidRDefault="004A23F6" w:rsidP="004A23F6">
      <w:pPr>
        <w:spacing w:after="0" w:line="276" w:lineRule="auto"/>
        <w:ind w:firstLine="709"/>
        <w:jc w:val="both"/>
        <w:rPr>
          <w:rFonts w:ascii="Times New Roman" w:eastAsia="Calibri" w:hAnsi="Times New Roman" w:cs="Times New Roman"/>
          <w:iCs/>
          <w:sz w:val="24"/>
          <w:szCs w:val="24"/>
          <w:lang w:eastAsia="ro-RO"/>
        </w:rPr>
      </w:pPr>
      <w:r w:rsidRPr="00250C7F">
        <w:rPr>
          <w:rFonts w:ascii="Times New Roman" w:eastAsia="Calibri" w:hAnsi="Times New Roman" w:cs="Times New Roman"/>
          <w:iCs/>
          <w:sz w:val="24"/>
          <w:szCs w:val="24"/>
          <w:lang w:eastAsia="ro-RO"/>
        </w:rPr>
        <w:t xml:space="preserve">Pe fondul cauzei, recurenţii-pârâţi au solicitat admiterea recursului şi, în rejudecare, admiterea apelului şi respingerea acţiunii ca nefondată, întrucât nu sunt îndeplinite condiţiile răspunderii civile delictuale; la filele 35-40 au prezentat aspecte cu privire la fondul cauzei şi la probele administrate în speţă.       </w:t>
      </w:r>
    </w:p>
    <w:p w14:paraId="0E7210EC" w14:textId="77777777" w:rsidR="004A23F6" w:rsidRPr="00250C7F" w:rsidRDefault="004A23F6" w:rsidP="004A23F6">
      <w:pPr>
        <w:spacing w:after="0" w:line="276" w:lineRule="auto"/>
        <w:ind w:firstLine="709"/>
        <w:jc w:val="both"/>
        <w:rPr>
          <w:rFonts w:ascii="Times New Roman" w:eastAsia="Calibri" w:hAnsi="Times New Roman" w:cs="Times New Roman"/>
          <w:i/>
          <w:sz w:val="24"/>
          <w:szCs w:val="24"/>
          <w:lang w:eastAsia="ro-RO"/>
        </w:rPr>
      </w:pPr>
      <w:r w:rsidRPr="00250C7F">
        <w:rPr>
          <w:rFonts w:ascii="Times New Roman" w:eastAsia="Calibri" w:hAnsi="Times New Roman" w:cs="Times New Roman"/>
          <w:i/>
          <w:sz w:val="24"/>
          <w:szCs w:val="24"/>
          <w:lang w:eastAsia="ro-RO"/>
        </w:rPr>
        <w:t xml:space="preserve">Recursul depus de recurenta-pârâtă E.: </w:t>
      </w:r>
    </w:p>
    <w:p w14:paraId="48FFED0C" w14:textId="77777777" w:rsidR="004A23F6" w:rsidRPr="00250C7F" w:rsidRDefault="004A23F6" w:rsidP="004A23F6">
      <w:pPr>
        <w:spacing w:after="0" w:line="276" w:lineRule="auto"/>
        <w:ind w:firstLine="709"/>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Prin cererea de recurs, întemeiată pe dispoziţiile art.488 alin. (1) pct. 3, 5 şi pct. 8 Cod procedură civilă, recurenta-pârâtă a solicitat repunerea în termenul de declarare a recursului, potrivit art. 186 alin. (2) Cod procedură civilă coroborat cu prevederile art. 485 alin. (1) din acelaşi act normativ, şi admiterea recursului, casarea în totalitate a deciziei recurate, respectiv a sentinţei civile nr. 54/2019, a încheierii civile nr. 53 din 3.02.2017 şi a încheierii civile din 20.04.2016, pronunţate de Tribunalul Cluj, şi trimiterea cauzei,  </w:t>
      </w:r>
      <w:r w:rsidRPr="00250C7F">
        <w:rPr>
          <w:rFonts w:ascii="Times New Roman" w:eastAsia="Calibri" w:hAnsi="Times New Roman" w:cs="Times New Roman"/>
          <w:iCs/>
          <w:sz w:val="24"/>
          <w:szCs w:val="24"/>
          <w:lang w:eastAsia="ro-RO"/>
        </w:rPr>
        <w:t xml:space="preserve">în principal, </w:t>
      </w:r>
      <w:r w:rsidRPr="00250C7F">
        <w:rPr>
          <w:rFonts w:ascii="Times New Roman" w:eastAsia="Calibri" w:hAnsi="Times New Roman" w:cs="Times New Roman"/>
          <w:sz w:val="24"/>
          <w:szCs w:val="24"/>
          <w:lang w:eastAsia="ro-RO"/>
        </w:rPr>
        <w:t xml:space="preserve">Tribunalului Cluj - Secţia mixtă de contencios administrativ, conflicte de muncă şi asigurări sociale, spre rejudecare, în baza prevederilor art. 497 teza I C.pr.civilă, solicitând a se dispune, </w:t>
      </w:r>
      <w:r w:rsidRPr="00250C7F">
        <w:rPr>
          <w:rFonts w:ascii="Times New Roman" w:eastAsia="Calibri" w:hAnsi="Times New Roman" w:cs="Times New Roman"/>
          <w:iCs/>
          <w:sz w:val="24"/>
          <w:szCs w:val="24"/>
          <w:lang w:eastAsia="ro-RO"/>
        </w:rPr>
        <w:t xml:space="preserve">pe cale de excepţie, </w:t>
      </w:r>
      <w:r w:rsidRPr="00250C7F">
        <w:rPr>
          <w:rFonts w:ascii="Times New Roman" w:eastAsia="Calibri" w:hAnsi="Times New Roman" w:cs="Times New Roman"/>
          <w:sz w:val="24"/>
          <w:szCs w:val="24"/>
          <w:lang w:eastAsia="ro-RO"/>
        </w:rPr>
        <w:t xml:space="preserve">respingerea acţiunii precizate ca fiind prescrisă; iar, </w:t>
      </w:r>
      <w:r w:rsidRPr="00250C7F">
        <w:rPr>
          <w:rFonts w:ascii="Times New Roman" w:eastAsia="Calibri" w:hAnsi="Times New Roman" w:cs="Times New Roman"/>
          <w:iCs/>
          <w:sz w:val="24"/>
          <w:szCs w:val="24"/>
          <w:lang w:eastAsia="ro-RO"/>
        </w:rPr>
        <w:t xml:space="preserve">pe fond, </w:t>
      </w:r>
      <w:r w:rsidRPr="00250C7F">
        <w:rPr>
          <w:rFonts w:ascii="Times New Roman" w:eastAsia="Calibri" w:hAnsi="Times New Roman" w:cs="Times New Roman"/>
          <w:sz w:val="24"/>
          <w:szCs w:val="24"/>
          <w:lang w:eastAsia="ro-RO"/>
        </w:rPr>
        <w:t xml:space="preserve">respingerea acţiunii precizate, ca nefondată; </w:t>
      </w:r>
      <w:r w:rsidRPr="00250C7F">
        <w:rPr>
          <w:rFonts w:ascii="Times New Roman" w:eastAsia="Calibri" w:hAnsi="Times New Roman" w:cs="Times New Roman"/>
          <w:iCs/>
          <w:sz w:val="24"/>
          <w:szCs w:val="24"/>
          <w:lang w:eastAsia="ro-RO"/>
        </w:rPr>
        <w:t xml:space="preserve">în subsidiar, trimiterea cauzei </w:t>
      </w:r>
      <w:r w:rsidRPr="00250C7F">
        <w:rPr>
          <w:rFonts w:ascii="Times New Roman" w:eastAsia="Calibri" w:hAnsi="Times New Roman" w:cs="Times New Roman"/>
          <w:sz w:val="24"/>
          <w:szCs w:val="24"/>
          <w:lang w:eastAsia="ro-RO"/>
        </w:rPr>
        <w:t xml:space="preserve">Tribunalului Cluj - Secţia civilă, spre rejudecare, în baza prevederilor art. 497 teza a II-a Cod procedură civilă, solicitând a se dispune, </w:t>
      </w:r>
      <w:r w:rsidRPr="00250C7F">
        <w:rPr>
          <w:rFonts w:ascii="Times New Roman" w:eastAsia="Calibri" w:hAnsi="Times New Roman" w:cs="Times New Roman"/>
          <w:iCs/>
          <w:sz w:val="24"/>
          <w:szCs w:val="24"/>
          <w:lang w:eastAsia="ro-RO"/>
        </w:rPr>
        <w:t xml:space="preserve">pe cale de excepţie, </w:t>
      </w:r>
      <w:r w:rsidRPr="00250C7F">
        <w:rPr>
          <w:rFonts w:ascii="Times New Roman" w:eastAsia="Calibri" w:hAnsi="Times New Roman" w:cs="Times New Roman"/>
          <w:sz w:val="24"/>
          <w:szCs w:val="24"/>
          <w:lang w:eastAsia="ro-RO"/>
        </w:rPr>
        <w:t>anularea acţiunii precizate, ca netimbrată, iar, în subsidiar, respingerea acţiunii precizate, ca prescrisă; iar, p</w:t>
      </w:r>
      <w:r w:rsidRPr="00250C7F">
        <w:rPr>
          <w:rFonts w:ascii="Times New Roman" w:eastAsia="Calibri" w:hAnsi="Times New Roman" w:cs="Times New Roman"/>
          <w:iCs/>
          <w:sz w:val="24"/>
          <w:szCs w:val="24"/>
          <w:lang w:eastAsia="ro-RO"/>
        </w:rPr>
        <w:t xml:space="preserve">e fond, </w:t>
      </w:r>
      <w:r w:rsidRPr="00250C7F">
        <w:rPr>
          <w:rFonts w:ascii="Times New Roman" w:eastAsia="Calibri" w:hAnsi="Times New Roman" w:cs="Times New Roman"/>
          <w:sz w:val="24"/>
          <w:szCs w:val="24"/>
          <w:lang w:eastAsia="ro-RO"/>
        </w:rPr>
        <w:t>respingerea acţiunii precizate, ca nefondată, iar, în cazul admiterii acesteia, admiterea cererii de chemare în garanţie a intimatei-pârâte S.C. H. SA.</w:t>
      </w:r>
    </w:p>
    <w:p w14:paraId="1D35D1DC" w14:textId="77777777" w:rsidR="004A23F6" w:rsidRPr="00250C7F" w:rsidRDefault="004A23F6" w:rsidP="004A23F6">
      <w:pPr>
        <w:spacing w:after="0" w:line="276" w:lineRule="auto"/>
        <w:ind w:firstLine="709"/>
        <w:jc w:val="both"/>
        <w:rPr>
          <w:rFonts w:ascii="Times New Roman" w:eastAsia="Calibri" w:hAnsi="Times New Roman" w:cs="Times New Roman"/>
          <w:color w:val="000000"/>
          <w:sz w:val="24"/>
          <w:szCs w:val="24"/>
          <w:lang w:eastAsia="ro-RO"/>
        </w:rPr>
      </w:pPr>
      <w:r w:rsidRPr="00250C7F">
        <w:rPr>
          <w:rFonts w:ascii="Times New Roman" w:eastAsia="Calibri" w:hAnsi="Times New Roman" w:cs="Times New Roman"/>
          <w:color w:val="000000"/>
          <w:sz w:val="24"/>
          <w:szCs w:val="24"/>
          <w:lang w:eastAsia="ro-RO"/>
        </w:rPr>
        <w:lastRenderedPageBreak/>
        <w:t>În dezvoltarea motivului de recurs prevăzut de art. 488 alin. (1) pct. 5 Cod procedură civilă, recurenta a învederat că, la prima instanţă, procedura de citare a fost viciată, fiind realizată la adresa din Bamberg (Landul Bavaria), în condiţiile în care  ea domiciliază, din anul 2009, în localitatea Homburg (Landul Saariand), iar reclamantul nu a efectuat minime demersuri în vederea aflării adresei sale, instanţa de fond mulţumindu-se cu numirea unui curator special, care să îi reprezinte interesele.</w:t>
      </w:r>
    </w:p>
    <w:p w14:paraId="34C09900" w14:textId="77777777" w:rsidR="004A23F6" w:rsidRPr="00250C7F" w:rsidRDefault="004A23F6" w:rsidP="004A23F6">
      <w:pPr>
        <w:spacing w:after="0" w:line="276" w:lineRule="auto"/>
        <w:ind w:firstLine="709"/>
        <w:jc w:val="both"/>
        <w:rPr>
          <w:rFonts w:ascii="Times New Roman" w:eastAsia="Calibri" w:hAnsi="Times New Roman" w:cs="Times New Roman"/>
          <w:color w:val="000000"/>
          <w:sz w:val="24"/>
          <w:szCs w:val="24"/>
          <w:lang w:eastAsia="ro-RO"/>
        </w:rPr>
      </w:pPr>
      <w:r w:rsidRPr="00250C7F">
        <w:rPr>
          <w:rFonts w:ascii="Times New Roman" w:eastAsia="Calibri" w:hAnsi="Times New Roman" w:cs="Times New Roman"/>
          <w:color w:val="000000"/>
          <w:sz w:val="24"/>
          <w:szCs w:val="24"/>
          <w:lang w:eastAsia="ro-RO"/>
        </w:rPr>
        <w:t>În schimb, în faza judecării apelului, procedura de citare a fost şi mai grav încălcată, întrucât nu a fost numit un curator, iar interesele sale procesuale nu au fost reprezentate nici măcar formal, fiind încălcat dreptul fundamental la apărare.</w:t>
      </w:r>
    </w:p>
    <w:p w14:paraId="5BBA51B1" w14:textId="77777777" w:rsidR="004A23F6" w:rsidRPr="00250C7F" w:rsidRDefault="004A23F6" w:rsidP="004A23F6">
      <w:pPr>
        <w:spacing w:after="0" w:line="276" w:lineRule="auto"/>
        <w:ind w:firstLine="709"/>
        <w:jc w:val="both"/>
        <w:rPr>
          <w:rFonts w:ascii="Times New Roman" w:eastAsia="Calibri" w:hAnsi="Times New Roman" w:cs="Times New Roman"/>
          <w:color w:val="000000"/>
          <w:sz w:val="24"/>
          <w:szCs w:val="24"/>
          <w:lang w:eastAsia="ro-RO"/>
        </w:rPr>
      </w:pPr>
      <w:r w:rsidRPr="00250C7F">
        <w:rPr>
          <w:rFonts w:ascii="Times New Roman" w:eastAsia="Calibri" w:hAnsi="Times New Roman" w:cs="Times New Roman"/>
          <w:color w:val="000000"/>
          <w:sz w:val="24"/>
          <w:szCs w:val="24"/>
          <w:lang w:eastAsia="ro-RO"/>
        </w:rPr>
        <w:t>În aceste condiţii, recurenta a arătat că toate de actele procesuale întocmite în lipsa citării sale, sunt lovite de nulitate absolută, fiind aplicabile prevederile art. 176 lit. b) şi art. 178 Cod procedură civilă, sens în care se impune casarea deciziei curţii de Apel Cluj-Napoca, respectiv a sentinţei Tribunalului Cluj, cu consecinţa anulării tuturor actelor de judecată, urmând a fi reluată judecata de primă instanţă, în baza prevederilor art. 501 alin. (2) Cod procedură civilă.</w:t>
      </w:r>
    </w:p>
    <w:p w14:paraId="15DCD217" w14:textId="77777777" w:rsidR="004A23F6" w:rsidRPr="00250C7F" w:rsidRDefault="004A23F6" w:rsidP="004A23F6">
      <w:pPr>
        <w:spacing w:after="0" w:line="276" w:lineRule="auto"/>
        <w:ind w:firstLine="709"/>
        <w:jc w:val="both"/>
        <w:rPr>
          <w:rFonts w:ascii="Times New Roman" w:eastAsia="Calibri" w:hAnsi="Times New Roman" w:cs="Times New Roman"/>
          <w:color w:val="000000"/>
          <w:sz w:val="24"/>
          <w:szCs w:val="24"/>
          <w:lang w:eastAsia="ro-RO"/>
        </w:rPr>
      </w:pPr>
      <w:r w:rsidRPr="00250C7F">
        <w:rPr>
          <w:rFonts w:ascii="Times New Roman" w:eastAsia="Calibri" w:hAnsi="Times New Roman" w:cs="Times New Roman"/>
          <w:color w:val="000000"/>
          <w:sz w:val="24"/>
          <w:szCs w:val="24"/>
          <w:lang w:eastAsia="ro-RO"/>
        </w:rPr>
        <w:t>În continuare, argumentele susţinute de recurenta-pârâtă, în dezvoltarea motivelor de recurs fondate pe dispoziţiile  art. 488 alin. (1) pct. 3 şi pct.8 Cod procedură civilă, sunt identice cu motivele invocate prin cererea de recurs de recurenta-pârâtă SC B. SA, astfel încât nu se impune a fi reiterate.</w:t>
      </w:r>
    </w:p>
    <w:p w14:paraId="53746737" w14:textId="77777777" w:rsidR="004A23F6" w:rsidRPr="00250C7F" w:rsidRDefault="004A23F6" w:rsidP="004A23F6">
      <w:pPr>
        <w:spacing w:after="0" w:line="276" w:lineRule="auto"/>
        <w:ind w:firstLine="720"/>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5. Apărările formulate în cauză:</w:t>
      </w:r>
    </w:p>
    <w:p w14:paraId="33A87EED"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Recurenta-pârâtă SC B. SA a depus întâmpinare, prin care a solicitat admiterea recursurilor formulate de pârâţii C., F., O., M. şi N.</w:t>
      </w:r>
      <w:r w:rsidRPr="00250C7F">
        <w:rPr>
          <w:rFonts w:ascii="Times New Roman" w:eastAsia="Times New Roman" w:hAnsi="Times New Roman" w:cs="Times New Roman"/>
          <w:bCs/>
          <w:sz w:val="24"/>
          <w:szCs w:val="24"/>
          <w:lang w:eastAsia="ro-RO"/>
        </w:rPr>
        <w:tab/>
      </w:r>
    </w:p>
    <w:p w14:paraId="621A0AAF"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Intimata SC H. SA a depus întâmpinare la cererile de recurs formulate în cauză, prin care a solicitat, pe cale de excepţie, raportat la art. 489 alin. (1) Cod procedură civilă, anularea, în parte, a recursului promovat de pârâţii O., M., N., C., F., în ceea ce priveşte critica vizând respingerea cererii de chemare în garanţie, întrucât recursul nu este motivat sub acest aspect; tot pe cale de excepţie, raportat la dispoziţiile art. 489 alin. (1) Cod procedură civilă, a solicitat anularea, în parte, a recursului promovat de pârâta SC B. SA, în ceea ce priveşte critica vizând respingerea cererii de chemare în garanţie, întrucât recursul nu este motivat sub acest aspect; a mai solicitat, în principal, respingerea, ca inadmisibile, a recursurilor, raportat la dispoziţiile art. 64 alin. (4) Cod procedură civilă, şi, în subsidiar, respingerea, ca nefondate, a recursurilor formulate de pârâţii O., M., N., C., sub aspectul criticilor care vizează respingerea cererii de chemare în garanţie împotriva societăţii; respingerea, ca nefondate, a recursurilor formulate de către pârâţii SC B. SA, O., M., N., C., cu privire la criticile vizând respingerea cererii de chemare în garanţie a societăţii de asigurare.</w:t>
      </w:r>
    </w:p>
    <w:p w14:paraId="1C18CB72"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ceea ce priveşte excepţia inadmisibilităţii recursului, intimata a susţinut că pârâţii nu au atacat încheierea de şedinţă din 20.04.2016, pronunţată de instanţa de fond, prin care li s-au respins în principiu cererile de chemare în garanţie raportat la art. 64 alin. (4) Cod procedură civilă, iar orice critică care vizează respingerea cererilor de chemare în garanţie împotriva societăţii nu mai poate fi primită în calea de atac a recursului, fiind inadmisibilă.</w:t>
      </w:r>
    </w:p>
    <w:p w14:paraId="7E418F28"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Intimatul-reclamant A. a depus întâmpinare la cererile de recurs formulate în cauză, prin care a solicitat, pe cale de excepţie, anularea recursurilor formulate în cauză, iar în subsidiar, respingerea, ca neîntemeiate.</w:t>
      </w:r>
    </w:p>
    <w:p w14:paraId="341DDAF5"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În raport de prevederile art. 489 alin. (2) raportat la art.486 alin. (1) lit. d) din Codul de procedură civilă, intimatul-reclamant a invocat nulitatea recursului promovat de recurentul F. </w:t>
      </w:r>
      <w:r w:rsidRPr="00250C7F">
        <w:rPr>
          <w:rFonts w:ascii="Times New Roman" w:eastAsia="Times New Roman" w:hAnsi="Times New Roman" w:cs="Times New Roman"/>
          <w:bCs/>
          <w:sz w:val="24"/>
          <w:szCs w:val="24"/>
          <w:lang w:eastAsia="ro-RO"/>
        </w:rPr>
        <w:lastRenderedPageBreak/>
        <w:t>(nulitate totală), precum şi nulitatea parţială (partea privitoare la fondul cauzei) a recursurilor formulate de societatea B. SA, C. şi O., M., N., întrucât acestea nu se circumscriu motivelor de casare consacrate de art. 488 alin. (1) Cod procedură civilă, iar în cuprinsul acestora, nu sunt indicate motivele de nelegalitate ale hotărârii atacate.</w:t>
      </w:r>
    </w:p>
    <w:p w14:paraId="7865B25B"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Cu privire la excepţiile invocate de recurenţi, respectiv excepţia necompetenţei materiale a instanţelor de drept civil, excepţia netimbrării cererii de chemare în judecată, excepţia prescripţiei dreptului material la acţiune, excepţia lipsei calităţii procesuale pasive, intimatul-reclamant a formulat următoarele apărări:</w:t>
      </w:r>
    </w:p>
    <w:p w14:paraId="70784697"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Cu privire la excepţia necompetenței materiale a instanţelor de drept civil în judecarea prezentei cauze şi solicitarea pârâţilor de casare a hotărârii atacate, cu consecinţa trimiterii cauzei, spre rejudecare, la instanţa de fond, respectiv Tribunalul Cluj - secţia specializată în litigii de dreptul muncii, intimatul-reclamant a solicitat respingerea acesteia, în principal, ca inadmisibilă, şi în secundar, ca nefondată, arătând că, potrivit art. 488 alin. (1) pct. 3 coroborat cu art. 130 alin. (2) din Cod procedură civilă, „necompetenţa materială de ordine publică trebuie invocată de către parte ori de către judecător la primul termen de judecată la care părţile sunt legat citate în faţa primei instanţe şi pot pune concluzii”.</w:t>
      </w:r>
    </w:p>
    <w:p w14:paraId="513900AC"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speţă, chemata în garanţie SC H. SA a invocat, prin întâmpinare, în principal, excepţia necompetenţei materiale a Tribunalului Cluj, cu consecinţa declinării competenţei de soluţionare a cauzei în favoarea Tribunalului Specializat Cluj, fiind un litigiu cu profesionişti, iar în subsidiar, excepţia inadmisibilităţii cererii de chemare în garanţie, formulată într-un litigiu de muncă, pentru situaţia în care instanţa de fond ar fi considerat că litigiul este unul de muncă.</w:t>
      </w:r>
    </w:p>
    <w:p w14:paraId="12DB9D08"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Aşadar, această excepţie a fost invocată, pentru prima dată, în faţa primei instanţe, prin întâmpinarea formulată de către chemata în garanţie SC H. SA ,şi nu a fost invocată de către recurenţii-pârâţi sau de judecător, la termenul procesual indicat de Codul de procedură civilă.</w:t>
      </w:r>
    </w:p>
    <w:p w14:paraId="0E23E785"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Intimatul-reclamant a mai arătat că excepţia necompetenţei materiale cu privire la faptul dacă prezentul litigiu este unul civil sau un litigiu cu profesionişti, invocată de instanţa de fond, a fost tranşată prin regulatorul de competenţă al Curţii de Apel Cluj care a arătat expres că instanţa competentă este Tribunalul Cluj -Secţia civilă, fiind o cauză având ca obiect antrenarea răspunderii civile delictuale, întemeiate pe art. 998-999 din Codul civil de la 1864.</w:t>
      </w:r>
    </w:p>
    <w:p w14:paraId="41036C4D" w14:textId="1BA7A550" w:rsidR="004A23F6" w:rsidRPr="00250C7F" w:rsidRDefault="004A23F6" w:rsidP="00262F7B">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Soluţionarea conflictului de competenţă şi stabilirea instanţei competente material să soluţioneze cauza - Tribunalul Cluj - Secţia civilă - a fost respectată întru totul de către instanţa de fond, iar acest aspect rezultă din încheierea de şedinţă din data de 23.03.2016, în care s-a consemnat că reprezentanta chematului în garanţie a invocat excepţia necompetenţei funcţionale a Tribunalului Cluj - Secţia civilă, apreciind că este un litigiu de muncă, iar instanţa a constatat, în mod corect, că, raportat la regulatorul de competenţă al Curţ</w:t>
      </w:r>
      <w:r w:rsidR="00262F7B" w:rsidRPr="00250C7F">
        <w:rPr>
          <w:rFonts w:ascii="Times New Roman" w:eastAsia="Times New Roman" w:hAnsi="Times New Roman" w:cs="Times New Roman"/>
          <w:bCs/>
          <w:sz w:val="24"/>
          <w:szCs w:val="24"/>
          <w:lang w:eastAsia="ro-RO"/>
        </w:rPr>
        <w:t xml:space="preserve">ii de Apel Cluj, s-a trecut de </w:t>
      </w:r>
      <w:r w:rsidRPr="00250C7F">
        <w:rPr>
          <w:rFonts w:ascii="Times New Roman" w:eastAsia="Times New Roman" w:hAnsi="Times New Roman" w:cs="Times New Roman"/>
          <w:bCs/>
          <w:sz w:val="24"/>
          <w:szCs w:val="24"/>
          <w:lang w:eastAsia="ro-RO"/>
        </w:rPr>
        <w:t>această etapă, invocarea fiind tardivă procedural.</w:t>
      </w:r>
    </w:p>
    <w:p w14:paraId="3642D5F6" w14:textId="1488E121" w:rsidR="004A23F6" w:rsidRPr="00250C7F" w:rsidRDefault="004A23F6" w:rsidP="00262F7B">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Intimatul-reclamant a mai învederat că, prin apelurile formulate în cauză de </w:t>
      </w:r>
      <w:r w:rsidR="00262F7B" w:rsidRPr="00250C7F">
        <w:rPr>
          <w:rFonts w:ascii="Times New Roman" w:eastAsia="Times New Roman" w:hAnsi="Times New Roman" w:cs="Times New Roman"/>
          <w:bCs/>
          <w:sz w:val="24"/>
          <w:szCs w:val="24"/>
          <w:lang w:eastAsia="ro-RO"/>
        </w:rPr>
        <w:t xml:space="preserve">către recurenţi, aceştia nu au </w:t>
      </w:r>
      <w:r w:rsidRPr="00250C7F">
        <w:rPr>
          <w:rFonts w:ascii="Times New Roman" w:eastAsia="Times New Roman" w:hAnsi="Times New Roman" w:cs="Times New Roman"/>
          <w:bCs/>
          <w:sz w:val="24"/>
          <w:szCs w:val="24"/>
          <w:lang w:eastAsia="ro-RO"/>
        </w:rPr>
        <w:t>formulat vreun motiv de apel cu privire la competenţa materială a instanţei de fond, nu au atacat nicio încheiere în care s-au consemnat discuţii sau dispoziţii despre acest subiect, şi nu au fost invocate excepţii în acest sens, iar, pe de altă parte, hotărârea pronunţată de Curtea de Apel Cluj, ca regulator competenţă, este definitivă.</w:t>
      </w:r>
    </w:p>
    <w:p w14:paraId="3D17198E"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Cu privire la excepţiile netimbrării acţiunii introductive şi prescripţiei dreptului material la acţiune și la solicitarea de casare a hotărârii atacate, cu consecinţa trimiterii cauzei spre rejudecare la instanţa de fond, respectiv Tribunalul Cluj, intimatul-reclamant a solicitat respingerea acestora, </w:t>
      </w:r>
      <w:r w:rsidRPr="00250C7F">
        <w:rPr>
          <w:rFonts w:ascii="Times New Roman" w:eastAsia="Times New Roman" w:hAnsi="Times New Roman" w:cs="Times New Roman"/>
          <w:bCs/>
          <w:sz w:val="24"/>
          <w:szCs w:val="24"/>
          <w:lang w:eastAsia="ro-RO"/>
        </w:rPr>
        <w:lastRenderedPageBreak/>
        <w:t>ca nefondate, arătând că soluţiile pronunţate de instanţa de fond şi cea de apel de respingere a acestora sunt legale şi temeinice.</w:t>
      </w:r>
    </w:p>
    <w:p w14:paraId="3A3C3899"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ceea ce priveşte excepţia lipsei calităţii procesuale pasive şi solicitarea de casare a hotărârii atacate şi rejudecare a cauzei, invocată de O., M., N., intimatul-reclamant a solicitat respingerea acesteia, ca neîntemeiată, arătând că, în mod corect, instanţa de apel a constatat că această excepţie invocată de apelanţii M. şi N., în sensul că ei nu pot fi obligaţi la despăgubiri, întrucât nu au săvârşit fapta ilicită, este nefondată, în condiţiile în care aceştia sunt ţinuţi de plata despăgubirilor, nu pentru că ei sunt autorii faptei ilicite, ci pentru că ei succed, în baza calităţii lor de moştenitori ai defunctului G., decedat la 21.04.2018, calitate atestată de certificatul de moştenitor nr. 79/2018, emis de BNP X., în dosarul succesoral nr. x/2018, în toate drepturile şi obligaţiile defunctului lor autor, inclusiv în obligaţia de reparare a prejudiciului.</w:t>
      </w:r>
    </w:p>
    <w:p w14:paraId="33542185"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Pe fondul cauzei, intimatul-reclamant a solicitat respingerea recursurilor, întrucât, în cauză, sunt întrunite toate condiţiile răspunderii civile delictuale, iar hotărârea atacată a fost pronunţată cu aplicarea corectă a legii.</w:t>
      </w:r>
    </w:p>
    <w:p w14:paraId="3D96C049"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Recurenţii-pârâţi C., O., M. şi N. au depus întâmpinare la recursurile declarate de pârâta SC B. SA şi de pârâtul F., prin care au solicitat admiterea recursurilor formulate de SC B. SA şi F.; în temeiul art. 482 alin. (2) Cod procedură civilă, au solicitat suspendarea efectelor deciziei civile nr. 287/A/2019, pronunţată de Curtea de Apel Cluj - Secţia I civilă, până la soluţionarea recursului.</w:t>
      </w:r>
    </w:p>
    <w:p w14:paraId="5B5B899C" w14:textId="77777777" w:rsidR="004A23F6" w:rsidRPr="00250C7F" w:rsidRDefault="004A23F6" w:rsidP="004A23F6">
      <w:pPr>
        <w:spacing w:after="0" w:line="276" w:lineRule="auto"/>
        <w:ind w:firstLine="540"/>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 xml:space="preserve"> Intimatul-reclamant A. a depus întâmpinare la recursul declarat de E., prin care a invocat excepţia tardivităţii formulării cererii de repunere în termen şi excepţia tardivităţii cererii de recurs, iar, pe fond, a solicitat respingerea recursului. </w:t>
      </w:r>
    </w:p>
    <w:p w14:paraId="61BAFE63" w14:textId="77777777" w:rsidR="004A23F6" w:rsidRPr="00250C7F" w:rsidRDefault="004A23F6" w:rsidP="004A23F6">
      <w:pPr>
        <w:spacing w:after="0" w:line="276" w:lineRule="auto"/>
        <w:ind w:firstLine="720"/>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6. Procedura de filtru:</w:t>
      </w:r>
    </w:p>
    <w:p w14:paraId="5DBDF833"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iCs/>
          <w:sz w:val="24"/>
          <w:szCs w:val="24"/>
          <w:lang w:eastAsia="ro-RO"/>
        </w:rPr>
        <w:t>Prin încheierea din 25.11.2020, completul de filtru a respins recursul declarat de pârâta SC B. SA împotriva încheierii din 20.04.2016</w:t>
      </w:r>
      <w:r w:rsidRPr="00250C7F">
        <w:rPr>
          <w:rFonts w:ascii="Times New Roman" w:eastAsia="Times New Roman" w:hAnsi="Times New Roman" w:cs="Times New Roman"/>
          <w:bCs/>
          <w:sz w:val="24"/>
          <w:szCs w:val="24"/>
          <w:lang w:eastAsia="ro-RO"/>
        </w:rPr>
        <w:t xml:space="preserve"> şi a încheierii civile nr. 53/2017, pronunţate de Tribunalul Cluj - Secţia civilă, ca inadmisibil.</w:t>
      </w:r>
    </w:p>
    <w:p w14:paraId="5BE7AD5E"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 respins excepţia nulităţii recursului declarat de pârâtul F., invocată de reclamantul A.</w:t>
      </w:r>
    </w:p>
    <w:p w14:paraId="61F2DE1E"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 A admis în principiu recursurile declarate de pârâţii SC B. SA, C., F., O. – soţie supravieţuitoare a pârâtului G., M. şi N., moştenitori ai defunctului G., împotriva deciziei nr. 287/A/2019, pronunţată de Curtea de Apel Cluj – Secţia I civilă.</w:t>
      </w:r>
    </w:p>
    <w:p w14:paraId="3D3FFF1D"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temeiul art. 167 alin. (3) coroborat cu art. 58 alin. (3) şi (4) Cod procedură civilă, a dispus înlocuirea curatorului special avocat P., numit să reprezinte interesele intimatei E., cu doamna avocat Q.</w:t>
      </w:r>
    </w:p>
    <w:p w14:paraId="5B2AC9AF"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S-a stabilit termen de judecată în şedinţă publică, cu citarea părţilor.</w:t>
      </w:r>
    </w:p>
    <w:p w14:paraId="138829BA" w14:textId="77777777" w:rsidR="004A23F6" w:rsidRPr="00250C7F" w:rsidRDefault="004A23F6" w:rsidP="004A23F6">
      <w:pPr>
        <w:spacing w:after="0" w:line="276" w:lineRule="auto"/>
        <w:ind w:firstLine="720"/>
        <w:jc w:val="both"/>
        <w:rPr>
          <w:rFonts w:ascii="Times New Roman" w:eastAsia="Times New Roman" w:hAnsi="Times New Roman" w:cs="Times New Roman"/>
          <w:b/>
          <w:bCs/>
          <w:sz w:val="24"/>
          <w:szCs w:val="24"/>
          <w:lang w:eastAsia="ro-RO"/>
        </w:rPr>
      </w:pPr>
      <w:r w:rsidRPr="00250C7F">
        <w:rPr>
          <w:rFonts w:ascii="Times New Roman" w:eastAsia="Times New Roman" w:hAnsi="Times New Roman" w:cs="Times New Roman"/>
          <w:b/>
          <w:bCs/>
          <w:sz w:val="24"/>
          <w:szCs w:val="24"/>
          <w:lang w:eastAsia="ro-RO"/>
        </w:rPr>
        <w:t>II. Soluţia şi considerentele Înaltei Curţi de Casaţie şi Justiţie:</w:t>
      </w:r>
    </w:p>
    <w:p w14:paraId="69B56E4E"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Examinând decizia recurată, prin prisma criticilor și a apărărilor formulate în cauză, precum şi prin raportare la dispoziţiile legale interne și convenționale relevante, Înalta Curte constată următoarele:</w:t>
      </w:r>
    </w:p>
    <w:p w14:paraId="705586D7" w14:textId="77777777" w:rsidR="004A23F6" w:rsidRPr="00250C7F" w:rsidRDefault="004A23F6" w:rsidP="004A23F6">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bCs/>
          <w:sz w:val="24"/>
          <w:szCs w:val="24"/>
          <w:lang w:eastAsia="ro-RO"/>
        </w:rPr>
        <w:t xml:space="preserve">Din perspectiva dispozițiilor art. 248 Cod procedură civilă care prevăd că </w:t>
      </w:r>
      <w:r w:rsidRPr="00250C7F">
        <w:rPr>
          <w:rFonts w:ascii="Times New Roman" w:eastAsia="Times New Roman" w:hAnsi="Times New Roman" w:cs="Times New Roman"/>
          <w:bCs/>
          <w:i/>
          <w:sz w:val="24"/>
          <w:szCs w:val="24"/>
          <w:lang w:eastAsia="ro-RO"/>
        </w:rPr>
        <w:t>instanța se va pronunța mai întâi asupra excepțiilor de procedură (…) care fac inutilă, în tot sau în parte (…) cercetarea în fond a cauzei</w:t>
      </w:r>
      <w:r w:rsidRPr="00250C7F">
        <w:rPr>
          <w:rFonts w:ascii="Times New Roman" w:eastAsia="Times New Roman" w:hAnsi="Times New Roman" w:cs="Times New Roman"/>
          <w:bCs/>
          <w:sz w:val="24"/>
          <w:szCs w:val="24"/>
          <w:lang w:eastAsia="ro-RO"/>
        </w:rPr>
        <w:t xml:space="preserve">, Înalta Curte urmează a analiza cu prioritate </w:t>
      </w:r>
      <w:r w:rsidRPr="00250C7F">
        <w:rPr>
          <w:rFonts w:ascii="Times New Roman" w:eastAsia="Times New Roman" w:hAnsi="Times New Roman" w:cs="Times New Roman"/>
          <w:sz w:val="24"/>
          <w:szCs w:val="24"/>
          <w:lang w:eastAsia="ro-RO"/>
        </w:rPr>
        <w:t>excepţia tardivităţii cererii de repunere în termen şi excepţia tardivităţii recursului, invocate de intimatul-reclamant A., cu privire la recursul declarat de pârâta E.</w:t>
      </w:r>
    </w:p>
    <w:p w14:paraId="1C22E483" w14:textId="77777777" w:rsidR="004A23F6" w:rsidRPr="00250C7F" w:rsidRDefault="004A23F6" w:rsidP="004A23F6">
      <w:pPr>
        <w:spacing w:after="0" w:line="276" w:lineRule="auto"/>
        <w:ind w:firstLine="567"/>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lastRenderedPageBreak/>
        <w:t xml:space="preserve">Conform art. 186 alin. 1 Cod procedură  civilă, </w:t>
      </w:r>
      <w:r w:rsidRPr="00250C7F">
        <w:rPr>
          <w:rFonts w:ascii="Times New Roman" w:eastAsia="Times New Roman" w:hAnsi="Times New Roman" w:cs="Times New Roman"/>
          <w:bCs/>
          <w:i/>
          <w:sz w:val="24"/>
          <w:szCs w:val="24"/>
          <w:lang w:eastAsia="ro-RO"/>
        </w:rPr>
        <w:t>partea care a pierdut un termen procedural va fi repusă în termen numai dacă dovedește că întârzierea se datorează unor motive temeinic justificate</w:t>
      </w:r>
      <w:r w:rsidRPr="00250C7F">
        <w:rPr>
          <w:rFonts w:ascii="Times New Roman" w:eastAsia="Times New Roman" w:hAnsi="Times New Roman" w:cs="Times New Roman"/>
          <w:bCs/>
          <w:sz w:val="24"/>
          <w:szCs w:val="24"/>
          <w:lang w:eastAsia="ro-RO"/>
        </w:rPr>
        <w:t>.</w:t>
      </w:r>
    </w:p>
    <w:p w14:paraId="01A5398E" w14:textId="77777777" w:rsidR="004A23F6" w:rsidRPr="00250C7F" w:rsidRDefault="004A23F6" w:rsidP="004A23F6">
      <w:pPr>
        <w:spacing w:after="0" w:line="276" w:lineRule="auto"/>
        <w:ind w:firstLine="567"/>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sz w:val="24"/>
          <w:szCs w:val="24"/>
          <w:lang w:eastAsia="ro-RO"/>
        </w:rPr>
        <w:t xml:space="preserve">Alineatul 2 al aceluiași articol statuează că, în acest scop, partea va îndeplini actul de procedură în cel mult 15 zile de la încetarea împiedicării, solicitând, totodată, repunerea sa în termen. </w:t>
      </w:r>
      <w:r w:rsidRPr="00250C7F">
        <w:rPr>
          <w:rFonts w:ascii="Times New Roman" w:eastAsia="Times New Roman" w:hAnsi="Times New Roman" w:cs="Times New Roman"/>
          <w:bCs/>
          <w:i/>
          <w:sz w:val="24"/>
          <w:szCs w:val="24"/>
          <w:lang w:eastAsia="ro-RO"/>
        </w:rPr>
        <w:t>În cazul exercitării căilor de atac, această durată este aceeași cu cea prevăzută pentru exercitarea căilor de atac.</w:t>
      </w:r>
    </w:p>
    <w:p w14:paraId="4D05582B" w14:textId="689533CE" w:rsidR="004A23F6" w:rsidRPr="00250C7F" w:rsidRDefault="004A23F6" w:rsidP="004A23F6">
      <w:pPr>
        <w:spacing w:after="0" w:line="276" w:lineRule="auto"/>
        <w:ind w:firstLine="567"/>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Din interpretarea prevederilor legale enunțate, reiese că, pentru a beneficia de repunerea în termen, este necesară îndeplinirea cumulativă a mai multor condiții: partea să nu fi respectat un termen procedural imperativ; nerespectarea termenului să fie determinată de existența unor motive temeinic justificate, dovedite de parte; împrejurarea ce a împiedicat partea să-și exercite dreptul procesual în termenul legal defipt de lege să se fi produs înăuntrul acestuia; partea să formuleze cererea de repunere în termen, dar și să îndeplinească actul de procedură neexercitat, în termenul prevăzut pentru exercitarea căii de atac.</w:t>
      </w:r>
    </w:p>
    <w:p w14:paraId="61144901" w14:textId="77777777" w:rsidR="004A23F6" w:rsidRPr="00250C7F" w:rsidRDefault="004A23F6" w:rsidP="004A23F6">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bCs/>
          <w:sz w:val="24"/>
          <w:szCs w:val="24"/>
          <w:lang w:eastAsia="ro-RO"/>
        </w:rPr>
        <w:t xml:space="preserve">În cauza dedusă judecății, se constată însă că recurentei pârâte </w:t>
      </w:r>
      <w:r w:rsidRPr="00250C7F">
        <w:rPr>
          <w:rFonts w:ascii="Times New Roman" w:eastAsia="Times New Roman" w:hAnsi="Times New Roman" w:cs="Times New Roman"/>
          <w:sz w:val="24"/>
          <w:szCs w:val="24"/>
          <w:lang w:eastAsia="ro-RO"/>
        </w:rPr>
        <w:t>E. nu i-a fost comunicată, la domiciliul său legal, de către instanța de apel, decizia civilă nr. 287/A din 18.12.2019, pronunţată de Curtea de Apel Cluj – Secţia I civilă, ce formează obiect al recursului, astfel încât, dată fiind nelegala comunicare a hotărârii judecătorești, împotriva acesteia, termenul de recurs de 30 zile nu a început să curgă de la momentul comunicării hotărârii, așa cum prevăd dispozițiile art. 485 alin. 1 teza I Cod procedură civilă.</w:t>
      </w:r>
    </w:p>
    <w:p w14:paraId="62418DF8" w14:textId="77777777" w:rsidR="004A23F6" w:rsidRPr="00250C7F" w:rsidRDefault="004A23F6" w:rsidP="004A23F6">
      <w:pPr>
        <w:spacing w:after="0" w:line="276" w:lineRule="auto"/>
        <w:ind w:firstLine="720"/>
        <w:jc w:val="both"/>
        <w:rPr>
          <w:rFonts w:ascii="Times New Roman" w:eastAsia="Calibri" w:hAnsi="Times New Roman" w:cs="Times New Roman"/>
          <w:sz w:val="24"/>
          <w:szCs w:val="24"/>
          <w:lang w:eastAsia="ro-RO"/>
        </w:rPr>
      </w:pPr>
      <w:r w:rsidRPr="00250C7F">
        <w:rPr>
          <w:rFonts w:ascii="Times New Roman" w:eastAsia="Times New Roman" w:hAnsi="Times New Roman" w:cs="Times New Roman"/>
          <w:sz w:val="24"/>
          <w:szCs w:val="24"/>
          <w:lang w:eastAsia="ro-RO"/>
        </w:rPr>
        <w:t>În acest context procesual, instanța de recurs reține că decizia civilă nr. 287/A/2019, pronunţată de Curtea de Apel Cluj – Secţia I civilă, a fost comunicată acestei pârâte de către recurenta SC B.</w:t>
      </w:r>
      <w:r w:rsidRPr="00250C7F">
        <w:rPr>
          <w:rFonts w:ascii="Times New Roman" w:eastAsia="Times New Roman" w:hAnsi="Times New Roman" w:cs="Times New Roman"/>
          <w:bCs/>
          <w:sz w:val="24"/>
          <w:szCs w:val="24"/>
          <w:lang w:eastAsia="ro-RO"/>
        </w:rPr>
        <w:t xml:space="preserve"> SA, în timpul derulării procedurii de recurs.</w:t>
      </w:r>
      <w:r w:rsidRPr="00250C7F">
        <w:rPr>
          <w:rFonts w:ascii="Times New Roman" w:eastAsia="Times New Roman" w:hAnsi="Times New Roman" w:cs="Times New Roman"/>
          <w:sz w:val="24"/>
          <w:szCs w:val="24"/>
          <w:lang w:eastAsia="ro-RO"/>
        </w:rPr>
        <w:t xml:space="preserve"> </w:t>
      </w:r>
      <w:r w:rsidRPr="00250C7F">
        <w:rPr>
          <w:rFonts w:ascii="Times New Roman" w:eastAsia="Calibri" w:hAnsi="Times New Roman" w:cs="Times New Roman"/>
          <w:sz w:val="24"/>
          <w:szCs w:val="24"/>
          <w:lang w:eastAsia="ro-RO"/>
        </w:rPr>
        <w:t xml:space="preserve"> </w:t>
      </w:r>
    </w:p>
    <w:p w14:paraId="07F03E6F" w14:textId="77777777" w:rsidR="004A23F6" w:rsidRPr="00250C7F" w:rsidRDefault="004A23F6" w:rsidP="004A23F6">
      <w:pPr>
        <w:spacing w:after="0" w:line="276" w:lineRule="auto"/>
        <w:ind w:firstLine="720"/>
        <w:jc w:val="both"/>
        <w:rPr>
          <w:rFonts w:ascii="Times New Roman" w:eastAsia="Calibri" w:hAnsi="Times New Roman" w:cs="Times New Roman"/>
          <w:sz w:val="24"/>
          <w:szCs w:val="24"/>
          <w:lang w:eastAsia="ro-RO"/>
        </w:rPr>
      </w:pPr>
      <w:r w:rsidRPr="00250C7F">
        <w:rPr>
          <w:rFonts w:ascii="Times New Roman" w:eastAsia="Calibri" w:hAnsi="Times New Roman" w:cs="Times New Roman"/>
          <w:sz w:val="24"/>
          <w:szCs w:val="24"/>
          <w:lang w:eastAsia="ro-RO"/>
        </w:rPr>
        <w:t>În raport de aceste circumstanțe procesuale, în cauza dedusă judecății, cererea de repunere în termenul de formulare a recursului nici nu ar fi trebuit formulată de către pârâta</w:t>
      </w:r>
      <w:r w:rsidRPr="00250C7F">
        <w:rPr>
          <w:rFonts w:ascii="Times New Roman" w:eastAsia="Times New Roman" w:hAnsi="Times New Roman" w:cs="Times New Roman"/>
          <w:sz w:val="24"/>
          <w:szCs w:val="24"/>
          <w:lang w:eastAsia="ro-RO"/>
        </w:rPr>
        <w:t xml:space="preserve"> E.</w:t>
      </w:r>
      <w:r w:rsidRPr="00250C7F">
        <w:rPr>
          <w:rFonts w:ascii="Times New Roman" w:eastAsia="Calibri" w:hAnsi="Times New Roman" w:cs="Times New Roman"/>
          <w:sz w:val="24"/>
          <w:szCs w:val="24"/>
          <w:lang w:eastAsia="ro-RO"/>
        </w:rPr>
        <w:t>, aceasta apărând ca fiind lipsită de interes, câtă vreme, împotriva acestei părți, termenul de recurs nu a început să curgă și partea era în drept să formuleze calea de atac a recursului, care este apreciat ca fiind introdus în termen.</w:t>
      </w:r>
    </w:p>
    <w:p w14:paraId="2697EBE9" w14:textId="77777777" w:rsidR="004A23F6" w:rsidRPr="00250C7F" w:rsidRDefault="004A23F6" w:rsidP="004A23F6">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Calibri" w:hAnsi="Times New Roman" w:cs="Times New Roman"/>
          <w:sz w:val="24"/>
          <w:szCs w:val="24"/>
          <w:lang w:eastAsia="ro-RO"/>
        </w:rPr>
        <w:t xml:space="preserve">Pentru argumentele expuse, Înalta Curte va respinge </w:t>
      </w:r>
      <w:r w:rsidRPr="00250C7F">
        <w:rPr>
          <w:rFonts w:ascii="Times New Roman" w:eastAsia="Times New Roman" w:hAnsi="Times New Roman" w:cs="Times New Roman"/>
          <w:sz w:val="24"/>
          <w:szCs w:val="24"/>
          <w:lang w:eastAsia="ro-RO"/>
        </w:rPr>
        <w:t>excepţia tardivităţii cererii de repunere în termen şi excepţia tardivităţii recursului, invocate de intimatul-reclamant A., cu privire la recursul declarat de pârâta E.</w:t>
      </w:r>
    </w:p>
    <w:p w14:paraId="2D421D57" w14:textId="77777777" w:rsidR="004A23F6" w:rsidRPr="00250C7F" w:rsidRDefault="004A23F6" w:rsidP="004A23F6">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Procedând la analiza recursului exercitat de această parte împotriva încheierii din 20.04.2016 şi a încheierii nr. 53/2017, pronunţate de Tribunalul Cluj – Secţia I civilă, Înalta Curte constată următoarele:</w:t>
      </w:r>
    </w:p>
    <w:p w14:paraId="5C6C6852" w14:textId="77777777" w:rsidR="004A23F6" w:rsidRPr="00250C7F" w:rsidRDefault="004A23F6" w:rsidP="004A23F6">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iCs/>
          <w:sz w:val="24"/>
          <w:szCs w:val="24"/>
          <w:lang w:eastAsia="ro-RO"/>
        </w:rPr>
        <w:t>Prin încheierea din 20.04.2016, pronunțată de Tribunalul Cluj - Secția civilă, instanța de fond, raportat la dispoziţiile art. 29 lit. i) din OUG nr.80/2013 privind taxele judiciare de timbru, a respins excepţia netimbrării acţiunii, reţinând şi incidenţa Deciziei Curţii Constituţionale nr. 387 din 27 mai 2015, în care s-a statuat că dispoziţiile art.</w:t>
      </w: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iCs/>
          <w:sz w:val="24"/>
          <w:szCs w:val="24"/>
          <w:lang w:eastAsia="ro-RO"/>
        </w:rPr>
        <w:t>29 lit. i) din OG nr. 80/2013 sunt constituţionale, în măsura în care sunt scutite de la plata taxei judiciare de timbru acţiunile şi cererile referitoare la despăgubirile civile pentru prejudiciile materiale şi morale decurgând dintr-o cauză penală, în condiţiile în care fapta cauzatoare de prejudiciu, la momentul săvârşirii acesteia, era prevăzută ca infracţiune.</w:t>
      </w:r>
    </w:p>
    <w:p w14:paraId="45EB0A33" w14:textId="77777777" w:rsidR="004A23F6" w:rsidRPr="00250C7F" w:rsidRDefault="004A23F6" w:rsidP="004A23F6">
      <w:pPr>
        <w:spacing w:after="0" w:line="276" w:lineRule="auto"/>
        <w:ind w:firstLine="720"/>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xml:space="preserve">Prin încheierea civilă nr. 53/2017 pronunţată de Tribunalul Cluj - Secţia civilă, a fost respinsă excepţia prescripţiei dreptului material la acţiune al reclamantului A., reţinându-se, în </w:t>
      </w:r>
      <w:r w:rsidRPr="00250C7F">
        <w:rPr>
          <w:rFonts w:ascii="Times New Roman" w:eastAsia="Times New Roman" w:hAnsi="Times New Roman" w:cs="Times New Roman"/>
          <w:iCs/>
          <w:sz w:val="24"/>
          <w:szCs w:val="24"/>
          <w:lang w:eastAsia="ro-RO"/>
        </w:rPr>
        <w:lastRenderedPageBreak/>
        <w:t>esenţă, că, potrivit art. 8 alin. (1) din Decretul nr. 167/1958, prescripţia dreptului la acţiune în repararea pagubei pricinuite prin fapta ilicită începe să curgă de la data când păgubitul a cunoscut sau trebuia să cunoască atât paguba, cât şi pe cel care răspunde de ea, respectiv de la data de 21.12.2011, când Tribunalul Cluj a pronunţat decizia penală nr. 594/R/2011, prin care a respins, ca inadmisibil, recursul declarat de făptuitorii G., F., C., respectiv  SC R. SA împotriva sentinţei penale nr. 452 din 2.11.2011 a Judecătoriei Turda, acela fiind momentul când reclamantul putea şi trebuia să declanşeze demersul judiciar la instanţa civilă. Or, în condiţiile în care cererea de chemare în judecată a fost înregistrată la Tribunalul Cluj, la data  de 4.08.2014, tribunalul a respins excepţia prescripţiei dreptului material la acţiune al reclamantului A.</w:t>
      </w:r>
    </w:p>
    <w:p w14:paraId="64F31C65" w14:textId="77777777" w:rsidR="004A23F6" w:rsidRPr="00250C7F" w:rsidRDefault="004A23F6" w:rsidP="004A23F6">
      <w:pPr>
        <w:spacing w:after="0" w:line="276" w:lineRule="auto"/>
        <w:ind w:firstLine="720"/>
        <w:jc w:val="both"/>
        <w:rPr>
          <w:rFonts w:ascii="Times New Roman" w:eastAsia="Times New Roman" w:hAnsi="Times New Roman" w:cs="Times New Roman"/>
          <w:iCs/>
          <w:sz w:val="24"/>
          <w:szCs w:val="24"/>
          <w:lang w:eastAsia="ro-RO"/>
        </w:rPr>
      </w:pPr>
      <w:r w:rsidRPr="00250C7F">
        <w:rPr>
          <w:rFonts w:ascii="Times New Roman" w:eastAsia="Times New Roman" w:hAnsi="Times New Roman" w:cs="Times New Roman"/>
          <w:iCs/>
          <w:sz w:val="24"/>
          <w:szCs w:val="24"/>
          <w:lang w:eastAsia="ro-RO"/>
        </w:rPr>
        <w:t xml:space="preserve">Împotriva acestor încheieri interlocutorii a formulat apel pârâta SC B. SA și acestea vor fi supuse cenzurii în acea cale de atac, iar, conform ierarhiei căilor de atac, acestea nu pot forma obiect distinct al recursului, în raport de dispozițiile art. 483 Cod procedură civilă raportat la art. 234 -235 Cod procedura civilă. </w:t>
      </w:r>
    </w:p>
    <w:p w14:paraId="5D952EAC" w14:textId="77777777" w:rsidR="004A23F6" w:rsidRPr="00250C7F" w:rsidRDefault="004A23F6" w:rsidP="004A23F6">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iCs/>
          <w:sz w:val="24"/>
          <w:szCs w:val="24"/>
          <w:lang w:eastAsia="ro-RO"/>
        </w:rPr>
        <w:t xml:space="preserve">În consecință, Înalta Curte urmează să respingă </w:t>
      </w:r>
      <w:r w:rsidRPr="00250C7F">
        <w:rPr>
          <w:rFonts w:ascii="Times New Roman" w:eastAsia="Times New Roman" w:hAnsi="Times New Roman" w:cs="Times New Roman"/>
          <w:sz w:val="24"/>
          <w:szCs w:val="24"/>
          <w:lang w:eastAsia="ro-RO"/>
        </w:rPr>
        <w:t>recursul declarat de pârâta E. împotriva încheierilor din 20.04.2016 şi încheierii nr. 53/2017, pronunţate de Tribunalul Cluj - Secţia civilă, ca inadmisibil.</w:t>
      </w:r>
    </w:p>
    <w:p w14:paraId="3F2C7079"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sz w:val="24"/>
          <w:szCs w:val="24"/>
          <w:lang w:eastAsia="ro-RO"/>
        </w:rPr>
        <w:t>Această soluție este, de altfel, consecventă cu soluția dispusă prin încheierea de admitere în principiu, pronunțată de Înalta Curte de Casație și Justiție</w:t>
      </w:r>
      <w:r w:rsidRPr="00250C7F">
        <w:rPr>
          <w:rFonts w:ascii="Times New Roman" w:eastAsia="Times New Roman" w:hAnsi="Times New Roman" w:cs="Times New Roman"/>
          <w:bCs/>
          <w:i/>
          <w:sz w:val="24"/>
          <w:szCs w:val="24"/>
          <w:lang w:eastAsia="ro-RO"/>
        </w:rPr>
        <w:t xml:space="preserve">  - </w:t>
      </w:r>
      <w:r w:rsidRPr="00250C7F">
        <w:rPr>
          <w:rFonts w:ascii="Times New Roman" w:eastAsia="Times New Roman" w:hAnsi="Times New Roman" w:cs="Times New Roman"/>
          <w:bCs/>
          <w:sz w:val="24"/>
          <w:szCs w:val="24"/>
          <w:lang w:eastAsia="ro-RO"/>
        </w:rPr>
        <w:t>completul de filtru - la data de 25.11.2020, conform căreia recursul declarat de pârâta SC B. SA împotriva încheierii din 20.04.2016 şi a încheierii civile nr. 53/2017, pronunţate de Tribunalul Cluj - Secţia civilă, a fost respins ca inadmisibil.</w:t>
      </w:r>
    </w:p>
    <w:p w14:paraId="26E3B2B1" w14:textId="77777777" w:rsidR="004A23F6" w:rsidRPr="00250C7F" w:rsidRDefault="004A23F6" w:rsidP="004A23F6">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bCs/>
          <w:sz w:val="24"/>
          <w:szCs w:val="24"/>
          <w:lang w:eastAsia="ro-RO"/>
        </w:rPr>
        <w:t xml:space="preserve">Analizând, cu prioritate, recursul declarat de </w:t>
      </w:r>
      <w:r w:rsidRPr="00250C7F">
        <w:rPr>
          <w:rFonts w:ascii="Times New Roman" w:eastAsia="Times New Roman" w:hAnsi="Times New Roman" w:cs="Times New Roman"/>
          <w:sz w:val="24"/>
          <w:szCs w:val="24"/>
          <w:lang w:eastAsia="ro-RO"/>
        </w:rPr>
        <w:t>pârâta E. împotriva deciziei civile nr. 287/A din 18.12.2019, pronunţată de Curtea de Apel Cluj – Secţia I civilă, Înalta Curte va expune următoarele considerații:</w:t>
      </w:r>
    </w:p>
    <w:p w14:paraId="084AF6E3"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Un prim motiv de recurs, întemeiat pe dispozițiile art. 488 pct. 5 Cod procedură civilă, s-a raportat la faptul că, în cauză, s-au încălcat formele de procedură, prevăzute sub sancţiunea nulităţii absolute de art. 176 lit. b și art. 178 Cod procedură civilă, referitoare la obligativitatea citării părţilor, dat fiind faptul că judecata apelului a avut loc fără ca intimata pârâtă să fie citat la domiciliul său legal și fără ca acesteia să-i fie numit un curator.</w:t>
      </w:r>
    </w:p>
    <w:p w14:paraId="3EEE19FD"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Această critică este fondată și determină </w:t>
      </w:r>
      <w:r w:rsidRPr="00250C7F">
        <w:rPr>
          <w:rFonts w:ascii="Times New Roman" w:eastAsia="Times New Roman" w:hAnsi="Times New Roman" w:cs="Times New Roman"/>
          <w:bCs/>
          <w:i/>
          <w:sz w:val="24"/>
          <w:szCs w:val="24"/>
          <w:lang w:eastAsia="ro-RO"/>
        </w:rPr>
        <w:t>per se</w:t>
      </w:r>
      <w:r w:rsidRPr="00250C7F">
        <w:rPr>
          <w:rFonts w:ascii="Times New Roman" w:eastAsia="Times New Roman" w:hAnsi="Times New Roman" w:cs="Times New Roman"/>
          <w:bCs/>
          <w:sz w:val="24"/>
          <w:szCs w:val="24"/>
          <w:lang w:eastAsia="ro-RO"/>
        </w:rPr>
        <w:t xml:space="preserve"> (prin ea însăși) casarea deciziei recurate și rejudecarea cauzei, cu respectarea tuturor garanțiilor procesuale ale părților litigante.</w:t>
      </w:r>
    </w:p>
    <w:p w14:paraId="4F67C93D"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Astfel, raportat la circumstanțele factuale ale cauzei, se poate constata că, prin cererea de chemare în judecată, reclamantul A. a indicat domiciliul pârâtei E. la adresa din Bamberg (Landul Bavaria), Germania, aceasta fiind citată pe tot parcursul judecării în fond și în apel la această adresă. În același sens, se poate observa că, deși pe parcursul soluționării cauzei în primă instanță, acestei pârâte i-a fost numit un curator, în acord cu dispozițiile art. 167 alin. 3 Cod procedură civilă, în apel, această obligație legală a instanței nu a fost respectată.</w:t>
      </w:r>
    </w:p>
    <w:p w14:paraId="5BA00A31"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etapa procesuală a recursului, pârâta menționată a făcut dovada, prin înscrisurile depuse la dosar, că domiciliul său legal este, din data de 18.06.2009, în Germania, localitatea Homburg, strada K. nr. x.</w:t>
      </w:r>
    </w:p>
    <w:p w14:paraId="25B3DC42" w14:textId="77777777" w:rsidR="004A23F6" w:rsidRPr="00250C7F" w:rsidRDefault="004A23F6" w:rsidP="004A23F6">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Din perspectiva  motivului de casare invocate și analizat, al cărui conțint  este - </w:t>
      </w:r>
      <w:r w:rsidRPr="00250C7F">
        <w:rPr>
          <w:rFonts w:ascii="Times New Roman" w:eastAsia="Times New Roman" w:hAnsi="Times New Roman" w:cs="Times New Roman"/>
          <w:i/>
          <w:sz w:val="24"/>
          <w:szCs w:val="24"/>
          <w:lang w:eastAsia="ro-RO"/>
        </w:rPr>
        <w:t xml:space="preserve">când, prin hotărârea dată, instanţa a încălcat regulile de procedură a căror nerespectare atrage sancţiunea nulităţii </w:t>
      </w:r>
      <w:r w:rsidRPr="00250C7F">
        <w:rPr>
          <w:rFonts w:ascii="Times New Roman" w:eastAsia="Times New Roman" w:hAnsi="Times New Roman" w:cs="Times New Roman"/>
          <w:sz w:val="24"/>
          <w:szCs w:val="24"/>
          <w:lang w:eastAsia="ro-RO"/>
        </w:rPr>
        <w:t xml:space="preserve"> - Înalta Curte reține că, în actuala reglementare, formularea art. 488 pct. 5 Cod procedură civilă este una mult mai acoperitoare decât în reglementarea anterioară, întrucât textul nu mai </w:t>
      </w:r>
      <w:r w:rsidRPr="00250C7F">
        <w:rPr>
          <w:rFonts w:ascii="Times New Roman" w:eastAsia="Times New Roman" w:hAnsi="Times New Roman" w:cs="Times New Roman"/>
          <w:sz w:val="24"/>
          <w:szCs w:val="24"/>
          <w:lang w:eastAsia="ro-RO"/>
        </w:rPr>
        <w:lastRenderedPageBreak/>
        <w:t xml:space="preserve">distinge în funcţie de sursa încălcării, încălcarea de către instanță a regulilor de procedură prevăzute de lege sub sancţiunea nulităţii, indiferent dacă sunt cazuri de nulitate absolută sau relativă, de nulitate expresă sau virtuală, condiţionată sau necondiţionată, sau care privesc atât condiţiile extrinseci, cât şi pe cele intrinseci ale actului de procedură, determinând incidența acestui motiv de recurs. </w:t>
      </w:r>
    </w:p>
    <w:p w14:paraId="00159D62" w14:textId="77777777" w:rsidR="004A23F6" w:rsidRPr="00250C7F" w:rsidRDefault="004A23F6" w:rsidP="004A23F6">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Astfel, textul acoperă şi cazurile în care nulitatea este necondiţionată de existenţa unei vătămări, prin urmare, partea nu va fi obligată să demonstreze existenţa unei vătămări, lăsând, desigur, dreptul părţii adverse să facă dovada contrară. </w:t>
      </w:r>
    </w:p>
    <w:p w14:paraId="58435E11"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sz w:val="24"/>
          <w:szCs w:val="24"/>
          <w:lang w:eastAsia="ro-RO"/>
        </w:rPr>
        <w:t>În acest sens, a</w:t>
      </w:r>
      <w:r w:rsidRPr="00250C7F">
        <w:rPr>
          <w:rFonts w:ascii="Times New Roman" w:eastAsia="Times New Roman" w:hAnsi="Times New Roman" w:cs="Times New Roman"/>
          <w:bCs/>
          <w:sz w:val="24"/>
          <w:szCs w:val="24"/>
          <w:lang w:eastAsia="ro-RO"/>
        </w:rPr>
        <w:t xml:space="preserve">rticolul 153 alin. 1 Cod procedură civilă prevede că </w:t>
      </w:r>
      <w:r w:rsidRPr="00250C7F">
        <w:rPr>
          <w:rFonts w:ascii="Times New Roman" w:eastAsia="Times New Roman" w:hAnsi="Times New Roman" w:cs="Times New Roman"/>
          <w:bCs/>
          <w:i/>
          <w:sz w:val="24"/>
          <w:szCs w:val="24"/>
          <w:lang w:eastAsia="ro-RO"/>
        </w:rPr>
        <w:t xml:space="preserve">instanța poate hotărî asupra unei cereri numai dacă părțile au fost citate ori s-au prezentat, personal sau prin reprezentant, </w:t>
      </w:r>
      <w:r w:rsidRPr="00250C7F">
        <w:rPr>
          <w:rFonts w:ascii="Times New Roman" w:eastAsia="Times New Roman" w:hAnsi="Times New Roman" w:cs="Times New Roman"/>
          <w:bCs/>
          <w:sz w:val="24"/>
          <w:szCs w:val="24"/>
          <w:lang w:eastAsia="ro-RO"/>
        </w:rPr>
        <w:t>cu excepția cazurilor în care legea prevede altfel.</w:t>
      </w:r>
    </w:p>
    <w:p w14:paraId="2B7C8520" w14:textId="77777777" w:rsidR="004A23F6" w:rsidRPr="00250C7F" w:rsidRDefault="004A23F6" w:rsidP="004A23F6">
      <w:pPr>
        <w:spacing w:after="0" w:line="276" w:lineRule="auto"/>
        <w:ind w:firstLine="720"/>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sz w:val="24"/>
          <w:szCs w:val="24"/>
          <w:lang w:eastAsia="ro-RO"/>
        </w:rPr>
        <w:t xml:space="preserve">În conformitate cu alineatul 2 al aceluiași articol, </w:t>
      </w:r>
      <w:r w:rsidRPr="00250C7F">
        <w:rPr>
          <w:rFonts w:ascii="Times New Roman" w:eastAsia="Times New Roman" w:hAnsi="Times New Roman" w:cs="Times New Roman"/>
          <w:bCs/>
          <w:i/>
          <w:sz w:val="24"/>
          <w:szCs w:val="24"/>
          <w:lang w:eastAsia="ro-RO"/>
        </w:rPr>
        <w:t>instanța va amâna judecarea și va dispune să se facă citarea ori de câte ori constată că partea care lipsește nu a fost citată cu respectarea cerințelor prevăzute de lege, sub sancțiunea  nulității.</w:t>
      </w:r>
    </w:p>
    <w:p w14:paraId="630BE0A8"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Aceste aspecte legale sunt corelate în mod necesar cu dispozițiile art. 14 Cod procedură civilă care consacră principiul contradictorialității și care stabilește că instanța nu poate hotărî asupra unei cereri decât după citarea sau înfățișarea părților, dacă legea nu prevede altfel.</w:t>
      </w:r>
    </w:p>
    <w:p w14:paraId="59B68A89"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Conform art. 159 Cod procedură civilă, </w:t>
      </w:r>
      <w:r w:rsidRPr="00250C7F">
        <w:rPr>
          <w:rFonts w:ascii="Times New Roman" w:eastAsia="Times New Roman" w:hAnsi="Times New Roman" w:cs="Times New Roman"/>
          <w:bCs/>
          <w:i/>
          <w:sz w:val="24"/>
          <w:szCs w:val="24"/>
          <w:lang w:eastAsia="ro-RO"/>
        </w:rPr>
        <w:t>citaţia și celelalte acte de procedură, sub pedeapsa nulităţii, va fi înmânată părţii cu cel puţin 5 zile înaintea termenului de judecată.</w:t>
      </w:r>
      <w:r w:rsidRPr="00250C7F">
        <w:rPr>
          <w:rFonts w:ascii="Times New Roman" w:eastAsia="Times New Roman" w:hAnsi="Times New Roman" w:cs="Times New Roman"/>
          <w:bCs/>
          <w:sz w:val="24"/>
          <w:szCs w:val="24"/>
          <w:lang w:eastAsia="ro-RO"/>
        </w:rPr>
        <w:t xml:space="preserve"> </w:t>
      </w:r>
    </w:p>
    <w:p w14:paraId="4AED8D20" w14:textId="77777777" w:rsidR="004A23F6" w:rsidRPr="00250C7F" w:rsidRDefault="004A23F6" w:rsidP="004A23F6">
      <w:pPr>
        <w:spacing w:after="0" w:line="276" w:lineRule="auto"/>
        <w:ind w:firstLine="720"/>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sz w:val="24"/>
          <w:szCs w:val="24"/>
          <w:lang w:eastAsia="ro-RO"/>
        </w:rPr>
        <w:t>Dispozițiile art. 175 Cod procedură civilă prevăd</w:t>
      </w:r>
      <w:r w:rsidRPr="00250C7F">
        <w:rPr>
          <w:rFonts w:ascii="Times New Roman" w:eastAsia="Times New Roman" w:hAnsi="Times New Roman" w:cs="Times New Roman"/>
          <w:bCs/>
          <w:i/>
          <w:sz w:val="24"/>
          <w:szCs w:val="24"/>
          <w:lang w:eastAsia="ro-RO"/>
        </w:rPr>
        <w:t xml:space="preserve"> că actul de procedură este lovit de nulitate dacă prin nerespectarea cerinței legale s-a adus părții o vătămare care nu poate fi înlăturată decât prin desființarea acestuia. În cazul nulităților expres prevăzute de lege, vătămarea este prezumată, partea interesată putând face dovada contrarie.</w:t>
      </w:r>
    </w:p>
    <w:p w14:paraId="164BD8EC"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 Legiuitorul a statuat, aşadar, în mod expres, că nerespectarea procedurii de citare se sancţionează cu nulitatea, fiind incidente dispoziţiile art. 175 Cod procedură civilă. Din perspectiva interesului ocrotit prin dispozițiile legale enunțate, nulitatea este relativă, ceea ce presupune că poate fi invocată numai de către cel vătămat, anume de partea pentru care procedura de citare nu a fost îndeplinită în condițiile legii și numai dacă neregularitatea nu a fost cauzată prin propria faptă.</w:t>
      </w:r>
    </w:p>
    <w:p w14:paraId="76CD9678"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considerarea dispozițiilor art. 175 Cod procedură civilă, neînmânarea citației în condițiile impuse de lege este sancționată cu nulitatea și, în consecință, vătămarea este prezumată până la proba contrarie, probă ce incumbă părții adverse care are un interes procesual în înlăturarea sancțiunii nulității.</w:t>
      </w:r>
    </w:p>
    <w:p w14:paraId="48127766"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Această consecință legală reiese în mod logic din reglementarea ca instituții fundamentale ale procesului civil a procedurii citării și comunicării actelor de procedură, menite să contribuie la concretizarea dreptului la apărare și la exercițiul firesc al contradictorialității, ambele cu semnificația unor garanții substanțiale ale procesului echitabil </w:t>
      </w:r>
    </w:p>
    <w:p w14:paraId="077B5D00" w14:textId="77777777" w:rsidR="004A23F6" w:rsidRPr="00250C7F" w:rsidRDefault="004A23F6" w:rsidP="004A23F6">
      <w:pPr>
        <w:spacing w:after="0" w:line="276" w:lineRule="auto"/>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reglementat de art. 6 par. 1 din Convenția Europeană a Drepturilor Omului.</w:t>
      </w:r>
    </w:p>
    <w:p w14:paraId="25915FFD" w14:textId="3EF14BF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Or, contrar opiniei intimatului reclamant, conform căreia procedura de citare cu pârâta E. ar fi fost legal îndeplinită pe tot parcursul judecării cauzei, întrucât aceasta ar fi fost citată la o adresă indicată de Oficiul Registrului Comerțului, instanța de recurs apreciază că procedura de citare a fost viciată, întrucât, pe tot parcursul judecăților anterioare, citațiile emise către această pârâtă s-au întors cu mențiunea „adresă necunoscută sau incompletă”, iar partea interesată si instanța, </w:t>
      </w:r>
      <w:r w:rsidRPr="00250C7F">
        <w:rPr>
          <w:rFonts w:ascii="Times New Roman" w:eastAsia="Times New Roman" w:hAnsi="Times New Roman" w:cs="Times New Roman"/>
          <w:bCs/>
          <w:i/>
          <w:sz w:val="24"/>
          <w:szCs w:val="24"/>
          <w:lang w:eastAsia="ro-RO"/>
        </w:rPr>
        <w:t>ex officio</w:t>
      </w:r>
      <w:r w:rsidRPr="00250C7F">
        <w:rPr>
          <w:rFonts w:ascii="Times New Roman" w:eastAsia="Times New Roman" w:hAnsi="Times New Roman" w:cs="Times New Roman"/>
          <w:bCs/>
          <w:sz w:val="24"/>
          <w:szCs w:val="24"/>
          <w:lang w:eastAsia="ro-RO"/>
        </w:rPr>
        <w:t xml:space="preserve">, ar fi trebuit să depună diligențele necesare pentru aflarea domiciliului real al </w:t>
      </w:r>
      <w:r w:rsidRPr="00250C7F">
        <w:rPr>
          <w:rFonts w:ascii="Times New Roman" w:eastAsia="Times New Roman" w:hAnsi="Times New Roman" w:cs="Times New Roman"/>
          <w:bCs/>
          <w:sz w:val="24"/>
          <w:szCs w:val="24"/>
          <w:lang w:eastAsia="ro-RO"/>
        </w:rPr>
        <w:lastRenderedPageBreak/>
        <w:t xml:space="preserve">pârâtei, instituția care a comunicat această adresă neavând atribuțiile legale pentru păstrarea evidențelor persoanelor cu domiciliul în străinătate. Astfel, deși la primul termen de judecată, în fața primei instanțe, s-a apreciat de către această instanță că procedura de citare este nelegal îndeplinită cu pârâta menționată, s-a dispus citarea sa prin publicitate, iar nu efectuarea demersurilor procesuale pentru aflarea domiciliului său real; comportament procesual ce a continuat și în apel. </w:t>
      </w:r>
    </w:p>
    <w:p w14:paraId="551C36A3"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Astfel, în cauza dedusă judecății, Curtea de Apel Cluj a procedat la judecata apelului, deși citarea intimatei E. nu fusese realizată la domiciliul său legal, astfel încât acesta nu s-a prezentat la proces, personal sau prin reprezentant legal sau convențional, nu i s-a numit un curator special, în condițiile art. 167 alin. 3 Cod procedură civilă, și nu a putut beneficia de garanțiile procesuale inerente procesului civil – dreptul la apărare și contradictorialitatea, cu consecințe, pe plan procesual, în sensul că nu a putut exercita calea de atac a apelului, nu a putut invoca excepții procesuale și apărări, și nici solicita și administra probele necesare combaterii cererii de chemare în judecată; iar decizia adoptată în apel nu i-a fost legal comunicată.</w:t>
      </w:r>
    </w:p>
    <w:p w14:paraId="3669013A"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Procedând în acest mod, cu neobservarea formelor legale, prin încălcarea regulilor de desfășurare  a procesului civil, în sensul avut în vedere de art. 175  Cod procedură civilă, instanța de apel a pricinuit pârâtei E. o vătămare care nu poate fi înlăturată altfel decât prin reluarea judecății, în condiții de procedură legal îndeplinită, deci cu refacerea actului procedural jurisdicțional, afectat de vicii de legalitate.</w:t>
      </w:r>
    </w:p>
    <w:p w14:paraId="7560EB21"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Astfel, deși Înalta Curte este conștientă de importanța mizei procesului pentru intimatul reclamant A., aflat într-o situație specială, garanțiile procesuale ce formează conținutul procesului echitabil trebuie asigurate, în mod egal și obiectiv, tuturor părților implicate în această procedură, mai ales, că intimata pârâtă </w:t>
      </w:r>
      <w:r w:rsidRPr="00250C7F">
        <w:rPr>
          <w:rFonts w:ascii="Times New Roman" w:eastAsia="Times New Roman" w:hAnsi="Times New Roman" w:cs="Times New Roman"/>
          <w:sz w:val="24"/>
          <w:szCs w:val="24"/>
          <w:lang w:eastAsia="ro-RO"/>
        </w:rPr>
        <w:t xml:space="preserve">E. a fost obligată, în solidar, cu ceilalți pârâți la o sumă considerabilă, fiind debitor al unei obligații de plată, dar fără a i se asigura condițiile legale pentru a participa la desfășurarea procedurii declanșate împotriva sa. </w:t>
      </w:r>
    </w:p>
    <w:p w14:paraId="222941C2" w14:textId="77777777" w:rsidR="004A23F6" w:rsidRPr="00250C7F" w:rsidRDefault="004A23F6" w:rsidP="004A23F6">
      <w:pPr>
        <w:spacing w:after="0" w:line="276" w:lineRule="auto"/>
        <w:ind w:firstLine="720"/>
        <w:jc w:val="both"/>
        <w:rPr>
          <w:rFonts w:ascii="Times New Roman" w:eastAsia="Times New Roman" w:hAnsi="Times New Roman" w:cs="Times New Roman"/>
          <w:color w:val="000000"/>
          <w:sz w:val="24"/>
          <w:szCs w:val="24"/>
          <w:lang w:eastAsia="ro-RO"/>
        </w:rPr>
      </w:pPr>
      <w:r w:rsidRPr="00250C7F">
        <w:rPr>
          <w:rFonts w:ascii="Times New Roman" w:eastAsia="Times New Roman" w:hAnsi="Times New Roman" w:cs="Times New Roman"/>
          <w:bCs/>
          <w:sz w:val="24"/>
          <w:szCs w:val="24"/>
          <w:lang w:eastAsia="ro-RO"/>
        </w:rPr>
        <w:t xml:space="preserve">În acest context, trebuie reamintit că instanța de contencios european a drepturilor omului a statuat în mod constant că </w:t>
      </w:r>
      <w:r w:rsidRPr="00250C7F">
        <w:rPr>
          <w:rFonts w:ascii="Times New Roman" w:eastAsia="Times New Roman" w:hAnsi="Times New Roman" w:cs="Times New Roman"/>
          <w:color w:val="000000"/>
          <w:sz w:val="24"/>
          <w:szCs w:val="24"/>
          <w:lang w:eastAsia="ro-RO"/>
        </w:rPr>
        <w:t xml:space="preserve">dreptul de acces la o instanță, principiul contradictorialității, precum și principiul egalității armelor, consacrate de art. 6 par. 1 din Convenție, se aplică, de asemenea, în domeniul specific al comunicării actelor de procedură părților (a se vedea, în acest sens, hotărârile din cauzele </w:t>
      </w:r>
      <w:r w:rsidRPr="00250C7F">
        <w:rPr>
          <w:rFonts w:ascii="Times New Roman" w:eastAsia="Times New Roman" w:hAnsi="Times New Roman" w:cs="Times New Roman"/>
          <w:i/>
          <w:iCs/>
          <w:color w:val="000000"/>
          <w:sz w:val="24"/>
          <w:szCs w:val="24"/>
          <w:lang w:eastAsia="ro-RO"/>
        </w:rPr>
        <w:t>S.C. Raisa M. Shipping S.R.L. contra României</w:t>
      </w:r>
      <w:r w:rsidRPr="00250C7F">
        <w:rPr>
          <w:rFonts w:ascii="Times New Roman" w:eastAsia="Times New Roman" w:hAnsi="Times New Roman" w:cs="Times New Roman"/>
          <w:color w:val="000000"/>
          <w:sz w:val="24"/>
          <w:szCs w:val="24"/>
          <w:lang w:eastAsia="ro-RO"/>
        </w:rPr>
        <w:t xml:space="preserve">, par. 29, și, </w:t>
      </w:r>
      <w:r w:rsidRPr="00250C7F">
        <w:rPr>
          <w:rFonts w:ascii="Times New Roman" w:eastAsia="Times New Roman" w:hAnsi="Times New Roman" w:cs="Times New Roman"/>
          <w:i/>
          <w:iCs/>
          <w:color w:val="000000"/>
          <w:sz w:val="24"/>
          <w:szCs w:val="24"/>
          <w:lang w:eastAsia="ro-RO"/>
        </w:rPr>
        <w:t>Avotin contra Letoniei</w:t>
      </w:r>
      <w:r w:rsidRPr="00250C7F">
        <w:rPr>
          <w:rFonts w:ascii="Times New Roman" w:eastAsia="Times New Roman" w:hAnsi="Times New Roman" w:cs="Times New Roman"/>
          <w:color w:val="000000"/>
          <w:sz w:val="24"/>
          <w:szCs w:val="24"/>
          <w:lang w:eastAsia="ro-RO"/>
        </w:rPr>
        <w:t>, par. 119).</w:t>
      </w:r>
    </w:p>
    <w:p w14:paraId="23CC7131"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sz w:val="24"/>
          <w:szCs w:val="24"/>
        </w:rPr>
        <w:t>În acord cu jurisprudența Curții Europene a Drepturilor Omului, instanțele interne trebuie să dea dovadă de diligență în ceea ce privește asigurarea informării părților cu privire la termenele de judecată și să își respecte obligația de a le asigura participarea efectivă la proces, în caz contrar, dreptul la un proces echitabil, cu componenta sa materială esențială - dreptul de acces la un tribunal independent și imparțial, garantat de dispozițiile convenționale ale art. 6 par. 1, putând fi afectat în substanța sa, devenind unul formal și iluzoriu.</w:t>
      </w:r>
    </w:p>
    <w:p w14:paraId="751F23BD"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250C7F">
        <w:rPr>
          <w:rFonts w:ascii="Times New Roman" w:eastAsia="Times New Roman" w:hAnsi="Times New Roman" w:cs="Times New Roman"/>
          <w:bCs/>
          <w:sz w:val="24"/>
          <w:szCs w:val="24"/>
        </w:rPr>
        <w:t>În consecință, instanța de recurs consideră că, în cauza dedusă judecății, este incident motivul de recurs reglementat de art. 488 pct. 5 Cod procedură și că vătămarea procesual pricinuită părții care nu a fost legal citată nu poate fi înlăturată altfel decât prin casarea hotărârii, pronunțate cu nerespectarea prescripțiilor legale și rejudecarea cauzei, cu respectarea tuturor garanțiilor procesuale.</w:t>
      </w:r>
    </w:p>
    <w:p w14:paraId="46AAF9AE" w14:textId="77777777" w:rsidR="004A23F6" w:rsidRPr="00250C7F" w:rsidRDefault="004A23F6" w:rsidP="004A23F6">
      <w:pPr>
        <w:widowControl w:val="0"/>
        <w:autoSpaceDE w:val="0"/>
        <w:autoSpaceDN w:val="0"/>
        <w:adjustRightInd w:val="0"/>
        <w:spacing w:after="0" w:line="276" w:lineRule="auto"/>
        <w:ind w:firstLine="709"/>
        <w:jc w:val="both"/>
        <w:rPr>
          <w:rFonts w:ascii="Times New Roman" w:eastAsia="Times New Roman" w:hAnsi="Times New Roman" w:cs="Times New Roman"/>
          <w:bCs/>
          <w:sz w:val="24"/>
          <w:szCs w:val="24"/>
        </w:rPr>
      </w:pPr>
      <w:r w:rsidRPr="00250C7F">
        <w:rPr>
          <w:rFonts w:ascii="Times New Roman" w:eastAsia="Times New Roman" w:hAnsi="Times New Roman" w:cs="Times New Roman"/>
          <w:bCs/>
          <w:sz w:val="24"/>
          <w:szCs w:val="24"/>
        </w:rPr>
        <w:t xml:space="preserve">Acest motiv de nelegalitate a deciziei recurate este unul peremptoriu care conduce prin el însuși la casarea deciziei recurate și reluarea judecății în cauză, astfel încât se impune, din </w:t>
      </w:r>
      <w:r w:rsidRPr="00250C7F">
        <w:rPr>
          <w:rFonts w:ascii="Times New Roman" w:eastAsia="Times New Roman" w:hAnsi="Times New Roman" w:cs="Times New Roman"/>
          <w:bCs/>
          <w:sz w:val="24"/>
          <w:szCs w:val="24"/>
        </w:rPr>
        <w:lastRenderedPageBreak/>
        <w:t>considerente de judecare unitară a cauzei, admiterea tuturor recursurilor exercitate în cauză.</w:t>
      </w:r>
    </w:p>
    <w:p w14:paraId="283950F8"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Înalta Curte apreciază că incidența acestui motiv de recurs, care privește formele de procedură și garanțiile procesuale, nu poate însă determina, la acest moment procesual, și cenzurarea motivului de recurs reglementat de art. 488 pct. 8 Cod procedură civilă privind interpretarea și aplicarea greșită a dispozițiilor de drept material în cauza dedusă judecății, întrucât, dacă, în această etapă procesuală, s-ar da dezlegări pe fondul cauzei, ar fi afectat principiul dublului grad de jurisdicție pe care legea îl acordă părților în această materie, în raport de valoarea obiectului pricinii, și de care acestea trebuie, în mod necesar, să beneficieze.</w:t>
      </w:r>
    </w:p>
    <w:p w14:paraId="7A42D302" w14:textId="49FC0C4F"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rejudecare, instanța de recurs va analiza ansamblul apărărilor substanțiale formulate de părți, atât din perspectiva excepțiilor invocate, cât și din perspectiva îndeplinirii condițiilor răspunderii civile delictuale, a responsabilităților pe care părțile implicate le aveau în desfășurarea activităților exercitate, dar și a decelării gradului de culpă pe care fiecare parte implicată în accidentul de muncă a cărui victimă a fost reclamantul A. îl are, aceste aspecte reprezentând tot atâtea circumstanțe factuale și legale pe care instanța de apel trebuie să le stabilească în virtutea atribuțiilor sale legale, în limitele cererilor de apel cu care a fost învestită, deci cu respectarea limitelor devoluțiunii, și pe care instanța de recurs nu le poate cenzura la acest moment procesual.</w:t>
      </w:r>
    </w:p>
    <w:p w14:paraId="70A5DF9F"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Având în vedere soluția de casare adoptată în cauză și dispozițiile art. 497 Cod procedură civilă, care prevăd că, în caz de casare pentru lipsă de competență, cauza va fi trimisă instanței competente, Înalta Curte apreciază că se impune și analizarea motivului de recurs întemeiat pe dispozițiile art. 488 pct. 3 Cod procedură civilă, comun tuturor recursurilor exercitate în cauză, prin care se critică faptul că hotărârile au fost pronunțate, în prezentul litigiu, de instanțe civile, necompetente material, întrucât instanţele competente ar fi cele de dreptul muncii, deoarece, în opinia recurenților pârâți, procedura în baza căreia ar trebui soluționat acest litigiu ar fi una specială, prevăzută de Codul Muncii, iar cauza ar trebui trimisă, spre competentă soluționare, Tribunalului Cluj – Secția de litigii de muncă.</w:t>
      </w:r>
    </w:p>
    <w:p w14:paraId="2680C62F"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acest sens, trebuie reținut că, prin sentinţa civilă nr. 87 din 23.11.2015, Curtea de Apel Cluj - Secţia a II-a civilă a stabilit competenţa de soluţionare a cererii de chemare în judecată formulate de reclamantul A., în favoarea Tribunalului Cluj, considerându-se că, în virtutea principiului disponibilității care guvernează procesul civil, reclamatul a învestit instanța cu o acțiune în răspundere civilă delictuală care excede faptelor ce ar putea atrage competența instanței specializate, iar natura civilă a raporturilor ce fac obiectul litigiului și cuantumul pretențiilor deduse judecății, circumscrise unor obligații de natură civilă, atrag competența instanței civile, respectiv Tribunalul Cluj – Secția civilă.</w:t>
      </w:r>
    </w:p>
    <w:p w14:paraId="353FB072" w14:textId="77777777" w:rsidR="004A23F6" w:rsidRPr="00250C7F" w:rsidRDefault="004A23F6" w:rsidP="004A23F6">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Această sentință are natura unui regulator de competență, iar efectele sale asupra stabilirii competenței se produc în mod definitiv, în sensul art. 135 alin. 4 Cod procedură civilă, astfel încât aspectele privind competența materială și funcțională de soluționare a cauzei, care au fost deja tranșate jurisdicțional, nu mai pot fi reiterate prin prezentul recurs. În acest context, trebuie reamintit că, independent de faptul că excepțiile procesuale de necompetență materială sau funcțională au natura unor excepții absolute, ce pot fi invocate de instanță din oficiu sau de părți, în reglementarea noului cod de procedură civilă, acestea trebuie invocate, din perspectivă temporală, doar în condițiile art. 130 – 131 Cod procedură civilă. În consecință, acest motiv de recurs este nefondat și va respins ca atare.</w:t>
      </w:r>
    </w:p>
    <w:p w14:paraId="6760E82B" w14:textId="77777777" w:rsidR="004A23F6" w:rsidRPr="00250C7F" w:rsidRDefault="004A23F6" w:rsidP="004A23F6">
      <w:pPr>
        <w:spacing w:after="0" w:line="276" w:lineRule="auto"/>
        <w:ind w:firstLine="720"/>
        <w:jc w:val="both"/>
        <w:rPr>
          <w:rFonts w:ascii="Times New Roman" w:eastAsia="Calibri" w:hAnsi="Times New Roman" w:cs="Times New Roman"/>
          <w:sz w:val="24"/>
          <w:szCs w:val="24"/>
          <w:lang w:eastAsia="ro-RO"/>
        </w:rPr>
      </w:pPr>
      <w:r w:rsidRPr="00250C7F">
        <w:rPr>
          <w:rFonts w:ascii="Times New Roman" w:eastAsia="Times New Roman" w:hAnsi="Times New Roman" w:cs="Times New Roman"/>
          <w:bCs/>
          <w:sz w:val="24"/>
          <w:szCs w:val="24"/>
          <w:lang w:eastAsia="ro-RO"/>
        </w:rPr>
        <w:t xml:space="preserve">Pentru argumentele expuse, găsind fondat motivul de recurs reglementat de art. 488 pct. 5 Cod procedură civilă, și pentru o judecată unitară a cauzei, Înalta Curte, în temeiul art. 496 - 497 </w:t>
      </w:r>
      <w:r w:rsidRPr="00250C7F">
        <w:rPr>
          <w:rFonts w:ascii="Times New Roman" w:eastAsia="Times New Roman" w:hAnsi="Times New Roman" w:cs="Times New Roman"/>
          <w:bCs/>
          <w:sz w:val="24"/>
          <w:szCs w:val="24"/>
          <w:lang w:eastAsia="ro-RO"/>
        </w:rPr>
        <w:lastRenderedPageBreak/>
        <w:t xml:space="preserve">Cod procedură civilă, </w:t>
      </w:r>
      <w:r w:rsidRPr="00250C7F">
        <w:rPr>
          <w:rFonts w:ascii="Times New Roman" w:eastAsia="Times New Roman" w:hAnsi="Times New Roman" w:cs="Times New Roman"/>
          <w:sz w:val="24"/>
          <w:szCs w:val="24"/>
          <w:lang w:eastAsia="ro-RO"/>
        </w:rPr>
        <w:t>a admis recursurile declarate de pârâţii SC B. SA, C., F., O. – soţie supravieţuitoare a defunctului G., M. şi N., moştenitori ai defunctului G., şi E. împotriva deciziei civile nr. 287/A din 18.12.2019, pronunţată de Curtea de Apel Cluj – Secţia I civilă; a c</w:t>
      </w:r>
      <w:r w:rsidRPr="00250C7F">
        <w:rPr>
          <w:rFonts w:ascii="Times New Roman" w:eastAsia="Calibri" w:hAnsi="Times New Roman" w:cs="Times New Roman"/>
          <w:sz w:val="24"/>
          <w:szCs w:val="24"/>
          <w:lang w:eastAsia="ro-RO"/>
        </w:rPr>
        <w:t xml:space="preserve">asat decizia atacată şi a trimis cauza, spre rejudecare, </w:t>
      </w:r>
      <w:r w:rsidRPr="00250C7F">
        <w:rPr>
          <w:rFonts w:ascii="Times New Roman" w:eastAsia="Times New Roman" w:hAnsi="Times New Roman" w:cs="Times New Roman"/>
          <w:sz w:val="24"/>
          <w:szCs w:val="24"/>
          <w:lang w:eastAsia="ro-RO"/>
        </w:rPr>
        <w:t>Curţii de Apel Cluj - Secţia I civilă.</w:t>
      </w:r>
      <w:r w:rsidRPr="00250C7F">
        <w:rPr>
          <w:rFonts w:ascii="Times New Roman" w:eastAsia="Calibri" w:hAnsi="Times New Roman" w:cs="Times New Roman"/>
          <w:sz w:val="24"/>
          <w:szCs w:val="24"/>
          <w:lang w:eastAsia="ro-RO"/>
        </w:rPr>
        <w:t xml:space="preserve"> </w:t>
      </w:r>
    </w:p>
    <w:p w14:paraId="633582A8" w14:textId="47330DBA" w:rsidR="000303CA" w:rsidRPr="00250C7F" w:rsidRDefault="000303CA" w:rsidP="004A23F6">
      <w:pPr>
        <w:shd w:val="clear" w:color="auto" w:fill="FFFFFF"/>
        <w:spacing w:after="0" w:line="276" w:lineRule="auto"/>
        <w:jc w:val="both"/>
        <w:rPr>
          <w:rFonts w:ascii="Times New Roman" w:eastAsia="Calibri" w:hAnsi="Times New Roman" w:cs="Times New Roman"/>
          <w:color w:val="000000"/>
          <w:sz w:val="24"/>
          <w:szCs w:val="24"/>
          <w:highlight w:val="yellow"/>
          <w:lang w:eastAsia="ro-RO"/>
        </w:rPr>
      </w:pPr>
    </w:p>
    <w:p w14:paraId="265F5432" w14:textId="77777777" w:rsidR="006F250F" w:rsidRPr="00250C7F" w:rsidRDefault="006F250F" w:rsidP="00891584">
      <w:pPr>
        <w:pStyle w:val="Heading2"/>
        <w:spacing w:line="276" w:lineRule="auto"/>
        <w:jc w:val="center"/>
        <w:rPr>
          <w:rFonts w:ascii="Times New Roman" w:hAnsi="Times New Roman" w:cs="Times New Roman"/>
          <w:b/>
          <w:bCs/>
          <w:i/>
          <w:color w:val="auto"/>
          <w:sz w:val="24"/>
          <w:szCs w:val="24"/>
        </w:rPr>
      </w:pPr>
      <w:bookmarkStart w:id="49" w:name="_Toc84584828"/>
      <w:r w:rsidRPr="00250C7F">
        <w:rPr>
          <w:rFonts w:ascii="Times New Roman" w:hAnsi="Times New Roman" w:cs="Times New Roman"/>
          <w:b/>
          <w:bCs/>
          <w:i/>
          <w:color w:val="auto"/>
          <w:sz w:val="24"/>
          <w:szCs w:val="24"/>
        </w:rPr>
        <w:t>III. Procedura insolvenţei</w:t>
      </w:r>
      <w:bookmarkEnd w:id="49"/>
    </w:p>
    <w:p w14:paraId="322DBEA2" w14:textId="77777777" w:rsidR="006F250F" w:rsidRPr="00250C7F" w:rsidRDefault="006F250F" w:rsidP="00891584">
      <w:pPr>
        <w:spacing w:after="0" w:line="276" w:lineRule="auto"/>
        <w:jc w:val="both"/>
        <w:rPr>
          <w:rFonts w:ascii="Times New Roman" w:eastAsia="Times New Roman" w:hAnsi="Times New Roman" w:cs="Times New Roman"/>
          <w:sz w:val="24"/>
          <w:szCs w:val="24"/>
          <w:lang w:eastAsia="ro-RO"/>
        </w:rPr>
      </w:pPr>
    </w:p>
    <w:p w14:paraId="1FF716BC" w14:textId="3A1AD1B4" w:rsidR="006F250F" w:rsidRPr="00250C7F" w:rsidRDefault="00262F7B" w:rsidP="000303CA">
      <w:pPr>
        <w:pStyle w:val="Heading3"/>
        <w:spacing w:before="0" w:line="276" w:lineRule="auto"/>
        <w:jc w:val="both"/>
        <w:rPr>
          <w:rFonts w:ascii="Times New Roman" w:hAnsi="Times New Roman" w:cs="Times New Roman"/>
          <w:b/>
          <w:color w:val="auto"/>
        </w:rPr>
      </w:pPr>
      <w:bookmarkStart w:id="50" w:name="_Toc84584829"/>
      <w:r w:rsidRPr="00250C7F">
        <w:rPr>
          <w:rFonts w:ascii="Times New Roman" w:hAnsi="Times New Roman" w:cs="Times New Roman"/>
          <w:b/>
          <w:color w:val="auto"/>
        </w:rPr>
        <w:t>4</w:t>
      </w:r>
      <w:r w:rsidR="006F250F" w:rsidRPr="00250C7F">
        <w:rPr>
          <w:rFonts w:ascii="Times New Roman" w:hAnsi="Times New Roman" w:cs="Times New Roman"/>
          <w:b/>
          <w:color w:val="auto"/>
        </w:rPr>
        <w:t xml:space="preserve">. </w:t>
      </w:r>
      <w:r w:rsidR="00C9417F" w:rsidRPr="00250C7F">
        <w:rPr>
          <w:rFonts w:ascii="Times New Roman" w:hAnsi="Times New Roman" w:cs="Times New Roman"/>
          <w:b/>
          <w:color w:val="auto"/>
        </w:rPr>
        <w:t>Concordat preventiv. Incidența prevederilor Regulamentului (UE) 2015/848 în privința legii aplicabile. Cerere de suspendare a judecății cauzei. Condiţii şi efecte în raport cu dispoziţiile Legii nr. 85/2014</w:t>
      </w:r>
      <w:bookmarkEnd w:id="50"/>
    </w:p>
    <w:p w14:paraId="78EB8022" w14:textId="192F3730" w:rsidR="006F250F" w:rsidRPr="00250C7F" w:rsidRDefault="006F250F" w:rsidP="000303CA">
      <w:pPr>
        <w:spacing w:after="0" w:line="240" w:lineRule="auto"/>
        <w:jc w:val="both"/>
        <w:rPr>
          <w:rFonts w:ascii="Times New Roman" w:hAnsi="Times New Roman" w:cs="Times New Roman"/>
          <w:sz w:val="24"/>
          <w:szCs w:val="24"/>
          <w:highlight w:val="yellow"/>
          <w:lang w:eastAsia="ro-RO"/>
        </w:rPr>
      </w:pPr>
    </w:p>
    <w:p w14:paraId="1A546A4E" w14:textId="77777777" w:rsidR="00C9417F" w:rsidRPr="00250C7F" w:rsidRDefault="00C9417F" w:rsidP="000303CA">
      <w:pPr>
        <w:spacing w:after="0" w:line="240" w:lineRule="auto"/>
        <w:ind w:firstLine="720"/>
        <w:jc w:val="right"/>
        <w:rPr>
          <w:rFonts w:ascii="Times New Roman" w:hAnsi="Times New Roman" w:cs="Times New Roman"/>
          <w:sz w:val="24"/>
          <w:szCs w:val="24"/>
          <w:lang w:eastAsia="ro-RO"/>
        </w:rPr>
      </w:pPr>
      <w:r w:rsidRPr="00250C7F">
        <w:rPr>
          <w:rFonts w:ascii="Times New Roman" w:hAnsi="Times New Roman" w:cs="Times New Roman"/>
          <w:sz w:val="24"/>
          <w:szCs w:val="24"/>
          <w:lang w:eastAsia="ro-RO"/>
        </w:rPr>
        <w:t>Regulamentul UE 2015/848, art. 7 alin. (2) lit. f), art. 18</w:t>
      </w:r>
    </w:p>
    <w:p w14:paraId="5B37420A" w14:textId="77777777" w:rsidR="00C9417F" w:rsidRPr="00250C7F" w:rsidRDefault="00C9417F" w:rsidP="000303CA">
      <w:pPr>
        <w:spacing w:after="0" w:line="240" w:lineRule="auto"/>
        <w:ind w:firstLine="720"/>
        <w:jc w:val="right"/>
        <w:rPr>
          <w:rFonts w:ascii="Times New Roman" w:hAnsi="Times New Roman" w:cs="Times New Roman"/>
          <w:sz w:val="24"/>
          <w:szCs w:val="24"/>
          <w:lang w:eastAsia="ro-RO"/>
        </w:rPr>
      </w:pPr>
      <w:r w:rsidRPr="00250C7F">
        <w:rPr>
          <w:rFonts w:ascii="Times New Roman" w:hAnsi="Times New Roman" w:cs="Times New Roman"/>
          <w:sz w:val="24"/>
          <w:szCs w:val="24"/>
          <w:lang w:eastAsia="ro-RO"/>
        </w:rPr>
        <w:t>Legea nr. 85/2014, art. 17 lit. d), art. 25 alin. (3), art. 29</w:t>
      </w:r>
    </w:p>
    <w:p w14:paraId="75CFF7BD" w14:textId="2BF11820" w:rsidR="006F250F" w:rsidRPr="00250C7F" w:rsidRDefault="006F250F" w:rsidP="00C9417F">
      <w:pPr>
        <w:spacing w:after="0" w:line="276" w:lineRule="auto"/>
        <w:ind w:firstLine="720"/>
        <w:jc w:val="right"/>
        <w:rPr>
          <w:rFonts w:ascii="Times New Roman" w:hAnsi="Times New Roman" w:cs="Times New Roman"/>
          <w:sz w:val="24"/>
          <w:szCs w:val="24"/>
          <w:highlight w:val="yellow"/>
          <w:lang w:eastAsia="ro-RO"/>
        </w:rPr>
      </w:pPr>
      <w:r w:rsidRPr="00250C7F">
        <w:rPr>
          <w:rFonts w:ascii="Times New Roman" w:hAnsi="Times New Roman" w:cs="Times New Roman"/>
          <w:sz w:val="24"/>
          <w:szCs w:val="24"/>
          <w:highlight w:val="yellow"/>
          <w:lang w:eastAsia="ro-RO"/>
        </w:rPr>
        <w:t xml:space="preserve"> </w:t>
      </w:r>
    </w:p>
    <w:p w14:paraId="54CE4917" w14:textId="77777777" w:rsidR="00C9417F" w:rsidRPr="00250C7F" w:rsidRDefault="00C9417F" w:rsidP="00C9417F">
      <w:pPr>
        <w:spacing w:after="0" w:line="276" w:lineRule="auto"/>
        <w:ind w:firstLine="720"/>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i/>
          <w:sz w:val="24"/>
          <w:szCs w:val="24"/>
          <w:lang w:eastAsia="ro-RO"/>
        </w:rPr>
        <w:t>În conformitate cu art. 18 din Regulamentul (UE) 2015/848 al Parlamentului European şi al Consiliului din 20 mai 2015 privind procedurile de insolvenţă, „efectele procedurii de insolvenţă asupra unei acţiuni în justiţie în desfăşurare [...] având ca obiect un activ sau un drept care face parte din masa bunurilor care face obiectul insolvenţei unui debitor, se reglementează exclusiv prin legislaţia statului membru în care se desfăşoară procesul”, iar potrivit art. 7 alin. (2) lit. f) din acelaşi regulament, „legea statului de deschidere determină condiţiile pentru deschiderea, desfăşurarea şi închiderea procedurii de insolvenţă. Aceasta determină în special:[…] f) efectele procedurii de insolvenţă asupra acţiunilor individuale intentate de creditori, cu excepţia proceselor în curs de soluţionare”.</w:t>
      </w:r>
    </w:p>
    <w:p w14:paraId="08D6DE29" w14:textId="77777777" w:rsidR="00C9417F" w:rsidRPr="00250C7F" w:rsidRDefault="00C9417F" w:rsidP="00C9417F">
      <w:pPr>
        <w:spacing w:after="0" w:line="276" w:lineRule="auto"/>
        <w:ind w:firstLine="708"/>
        <w:jc w:val="both"/>
        <w:rPr>
          <w:rFonts w:ascii="Times New Roman" w:hAnsi="Times New Roman" w:cs="Times New Roman"/>
          <w:i/>
          <w:sz w:val="24"/>
          <w:szCs w:val="24"/>
        </w:rPr>
      </w:pPr>
      <w:r w:rsidRPr="00250C7F">
        <w:rPr>
          <w:rFonts w:ascii="Times New Roman" w:eastAsia="Times New Roman" w:hAnsi="Times New Roman" w:cs="Times New Roman"/>
          <w:bCs/>
          <w:i/>
          <w:sz w:val="24"/>
          <w:szCs w:val="24"/>
          <w:lang w:eastAsia="ro-RO"/>
        </w:rPr>
        <w:t xml:space="preserve">Procesului în curs de soluționare aflat pe rolul instanței române, </w:t>
      </w:r>
      <w:r w:rsidRPr="00250C7F">
        <w:rPr>
          <w:rFonts w:ascii="Times New Roman" w:hAnsi="Times New Roman" w:cs="Times New Roman"/>
          <w:i/>
          <w:sz w:val="24"/>
          <w:szCs w:val="24"/>
        </w:rPr>
        <w:t>ce intră în sfera de aplicare a art. 7 alin. 2 lit. f) teza finală din Regulamentul (UE) 2015/848, îi este aplicabilă legea română, respectiv Legea nr. 85/2014, care, în situaţia concordatului preventiv, prevede exclusiv suspendarea urmăririlor silite individuale până la pronunţarea unei hotărâri executorii de omologare a concordatului sau până la respingerea ofertei de concordat [art. 17 lit. d) şi art. 25 alin. (3)], iar nu suspendarea judecăţii.</w:t>
      </w:r>
    </w:p>
    <w:p w14:paraId="36158677" w14:textId="77777777" w:rsidR="00C9417F" w:rsidRPr="00250C7F" w:rsidRDefault="00C9417F" w:rsidP="00C9417F">
      <w:pPr>
        <w:spacing w:after="0" w:line="276" w:lineRule="auto"/>
        <w:ind w:firstLine="720"/>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i/>
          <w:sz w:val="24"/>
          <w:szCs w:val="24"/>
          <w:lang w:eastAsia="ro-RO"/>
        </w:rPr>
        <w:t>Prin urmare, solicitarea părții privind suspendarea cauzei până în momentul în care decizia de aprobare a concordatului devine definitivă nu are niciun temei legal, având în vedere faptul că legea română nu prevede suspendarea proceselor în curs de soluţionare în cazul în care debitorul este în procedura de concordat preventiv.</w:t>
      </w:r>
    </w:p>
    <w:p w14:paraId="20A62589" w14:textId="77777777" w:rsidR="006F250F" w:rsidRPr="00250C7F" w:rsidRDefault="006F250F" w:rsidP="00891584">
      <w:pPr>
        <w:spacing w:after="0" w:line="276" w:lineRule="auto"/>
        <w:jc w:val="both"/>
        <w:rPr>
          <w:rFonts w:ascii="Times New Roman" w:hAnsi="Times New Roman" w:cs="Times New Roman"/>
          <w:sz w:val="24"/>
          <w:szCs w:val="24"/>
          <w:highlight w:val="yellow"/>
          <w:lang w:eastAsia="ro-RO"/>
        </w:rPr>
      </w:pPr>
    </w:p>
    <w:p w14:paraId="2F941F73" w14:textId="65711AC6" w:rsidR="006F250F" w:rsidRPr="00250C7F" w:rsidRDefault="001B39B6" w:rsidP="00891584">
      <w:pPr>
        <w:spacing w:after="0" w:line="276" w:lineRule="auto"/>
        <w:jc w:val="both"/>
        <w:rPr>
          <w:rFonts w:ascii="Times New Roman" w:hAnsi="Times New Roman" w:cs="Times New Roman"/>
          <w:sz w:val="24"/>
          <w:szCs w:val="24"/>
          <w:lang w:eastAsia="ro-RO"/>
        </w:rPr>
      </w:pPr>
      <w:r w:rsidRPr="00250C7F">
        <w:rPr>
          <w:rFonts w:ascii="Times New Roman" w:hAnsi="Times New Roman" w:cs="Times New Roman"/>
          <w:sz w:val="24"/>
          <w:szCs w:val="24"/>
          <w:lang w:eastAsia="ro-RO"/>
        </w:rPr>
        <w:t xml:space="preserve">I.C.C.J., </w:t>
      </w:r>
      <w:r w:rsidR="006F250F" w:rsidRPr="00250C7F">
        <w:rPr>
          <w:rFonts w:ascii="Times New Roman" w:hAnsi="Times New Roman" w:cs="Times New Roman"/>
          <w:sz w:val="24"/>
          <w:szCs w:val="24"/>
          <w:lang w:eastAsia="ro-RO"/>
        </w:rPr>
        <w:t xml:space="preserve">Secţia a II-a civilă, </w:t>
      </w:r>
      <w:r w:rsidR="00910B80" w:rsidRPr="00250C7F">
        <w:rPr>
          <w:rFonts w:ascii="Times New Roman" w:hAnsi="Times New Roman" w:cs="Times New Roman"/>
          <w:sz w:val="24"/>
          <w:szCs w:val="24"/>
          <w:lang w:eastAsia="ro-RO"/>
        </w:rPr>
        <w:t xml:space="preserve">decizia </w:t>
      </w:r>
      <w:r w:rsidR="006F250F" w:rsidRPr="00250C7F">
        <w:rPr>
          <w:rFonts w:ascii="Times New Roman" w:hAnsi="Times New Roman" w:cs="Times New Roman"/>
          <w:sz w:val="24"/>
          <w:szCs w:val="24"/>
          <w:lang w:eastAsia="ro-RO"/>
        </w:rPr>
        <w:t xml:space="preserve">nr. </w:t>
      </w:r>
      <w:r w:rsidR="00C9417F" w:rsidRPr="00250C7F">
        <w:rPr>
          <w:rFonts w:ascii="Times New Roman" w:hAnsi="Times New Roman" w:cs="Times New Roman"/>
          <w:sz w:val="24"/>
          <w:szCs w:val="24"/>
          <w:lang w:eastAsia="ro-RO"/>
        </w:rPr>
        <w:t>412 din 18 februarie 2021</w:t>
      </w:r>
    </w:p>
    <w:p w14:paraId="3F1D033C" w14:textId="77777777" w:rsidR="004A23F6" w:rsidRPr="00250C7F" w:rsidRDefault="004A23F6" w:rsidP="00891584">
      <w:pPr>
        <w:spacing w:after="0" w:line="276" w:lineRule="auto"/>
        <w:jc w:val="both"/>
        <w:rPr>
          <w:rFonts w:ascii="Times New Roman" w:hAnsi="Times New Roman" w:cs="Times New Roman"/>
          <w:sz w:val="24"/>
          <w:szCs w:val="24"/>
          <w:lang w:eastAsia="ro-RO"/>
        </w:rPr>
      </w:pPr>
    </w:p>
    <w:p w14:paraId="25DBEF95" w14:textId="77777777" w:rsidR="00C9417F" w:rsidRPr="00250C7F" w:rsidRDefault="00C9417F" w:rsidP="00C9417F">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Prin cererea înregistrată pe rolul Tribunalului Bucureşti, Secţia a VI-a civilă, la 11 mai 2018, sub dosar nr. x/3/2018, reclamanta A. Spa Italia în contradictoriu cu pârâtele B. Spa Italia - Sucursala România şi Asocierea B. Spa - C. SRL Nădlac - Arad Lot 2, a solicitat instanţei să dispună obligarea pârâtelor la plata sumei de 1.224.290,85 lei (echivalentul a 264.425,67 euro, 1 euro=4,63 lei, la cursul valutar la data de 10 mai 2018), compusă din: 104.247,64 euro, reprezentând garanţie de bună-execuţie reţinută în baza contractului nr. A2/06/7/175; 18.773,77 Euro, reprezentând sume datorate în baza ordinului de achiziţie nr. 140935/002; 14.978,53 euro, reprezentând sume datorate în baza ordinului de achiziţie nr. 140862/001; 76.096,97 euro, reprezentând penalităţi datorate în baza contractului nr. 921/20.10.2014 şi 50.328,76 euro, </w:t>
      </w:r>
      <w:r w:rsidRPr="00250C7F">
        <w:rPr>
          <w:rFonts w:ascii="Times New Roman" w:eastAsia="Times New Roman" w:hAnsi="Times New Roman" w:cs="Times New Roman"/>
          <w:sz w:val="24"/>
          <w:szCs w:val="24"/>
          <w:lang w:eastAsia="ro-RO"/>
        </w:rPr>
        <w:lastRenderedPageBreak/>
        <w:t>reprezentând sume datorate în baza ordinului de achiziţie nr. 16S487/189, precum şi obligarea pârâtelor la plata cheltuielilor de judecată.</w:t>
      </w:r>
    </w:p>
    <w:p w14:paraId="0182F522" w14:textId="77777777" w:rsidR="00C9417F" w:rsidRPr="00250C7F" w:rsidRDefault="00C9417F" w:rsidP="00C9417F">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La data de 26 octombrie 2018, reclamanta a depus cerere modificatoare, prin care a arătat că renunţă la primul capăt de cerere, având ca obiect obligarea pârâtelor la plata sumei de 104,247.64 Euro reprezentând garanţie de bună-execuţie, având în vedere plata acesteia în data de 18 iulie 2018, însă solicită, în plus, obligarea pârâtelor la plata dobânzii legale penalizatoare calculată, conform O.G. nr. 13/2011, de la data scadenţei şi până la data plăţi efective a sumelor solicitate prin cerere iniţială, şi anume:</w:t>
      </w:r>
    </w:p>
    <w:p w14:paraId="1802D034" w14:textId="77777777" w:rsidR="00C9417F" w:rsidRPr="00250C7F" w:rsidRDefault="00C9417F" w:rsidP="00C9417F">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xml:space="preserve"> - 18.773,77 Euro, datorată în baza ordinului de achiziţie nr. 140935/002, scadentă la data de 31 martie 2015 şi la data de 21 mai 2015;</w:t>
      </w:r>
    </w:p>
    <w:p w14:paraId="3EFA0CDF" w14:textId="77777777" w:rsidR="00C9417F" w:rsidRPr="00250C7F" w:rsidRDefault="00C9417F" w:rsidP="00C9417F">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- 14.978,53 Euro, datorată în baza ordinului de achiziţie nr. 140862/001 scadentă la data de 30 mai 2015;</w:t>
      </w:r>
    </w:p>
    <w:p w14:paraId="19CC8BE9" w14:textId="77777777" w:rsidR="00C9417F" w:rsidRPr="00250C7F" w:rsidRDefault="00C9417F" w:rsidP="00C9417F">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- 50.328,76 Euro, datorată în baza ordinului de achiziţie nr. 16S487/189 scadentă la data de 23 februarie 2017.</w:t>
      </w:r>
    </w:p>
    <w:p w14:paraId="572030FA" w14:textId="77777777" w:rsidR="00C9417F" w:rsidRPr="00250C7F" w:rsidRDefault="00C9417F" w:rsidP="00C9417F">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Reclamanta arată că modifică şi capătul de cerere privind obligarea pârâtelor la plata penalităţilor în sumă de 76.096,97 Euro, datorate în baza contractului nr. 921 din 20 octombrie 2014, în sensul că solicită obligarea pârâtelor la plata cuantumului integral al penalităţilor, şi anume 152.193.94 Euro.</w:t>
      </w:r>
    </w:p>
    <w:p w14:paraId="0903BDAA" w14:textId="77777777" w:rsidR="00C9417F" w:rsidRPr="00250C7F" w:rsidRDefault="00C9417F" w:rsidP="00C9417F">
      <w:pPr>
        <w:spacing w:after="0" w:line="276" w:lineRule="auto"/>
        <w:ind w:firstLine="708"/>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t>În drept, s-au invocat dispoziţiile art. 1.350 şi art. 1.516 şi urm. C. civ.</w:t>
      </w:r>
    </w:p>
    <w:p w14:paraId="6F8FEA3D" w14:textId="77777777" w:rsidR="00C9417F" w:rsidRPr="00250C7F" w:rsidRDefault="00C9417F" w:rsidP="00C9417F">
      <w:pPr>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sentinţa civilă nr. 593 din 8 martie 2019 pronunțată de Tribunalul București, Secția a VI-a civilă în dosarul nr. </w:t>
      </w:r>
      <w:r w:rsidRPr="00250C7F">
        <w:rPr>
          <w:rFonts w:ascii="Times New Roman" w:eastAsia="Times New Roman" w:hAnsi="Times New Roman" w:cs="Times New Roman"/>
          <w:sz w:val="24"/>
          <w:szCs w:val="24"/>
          <w:lang w:eastAsia="ro-RO"/>
        </w:rPr>
        <w:t>x/3/2018</w:t>
      </w:r>
      <w:r w:rsidRPr="00250C7F">
        <w:rPr>
          <w:rFonts w:ascii="Times New Roman" w:eastAsia="Calibri" w:hAnsi="Times New Roman" w:cs="Times New Roman"/>
          <w:sz w:val="24"/>
          <w:szCs w:val="24"/>
        </w:rPr>
        <w:t xml:space="preserve"> a fost admisă în parte cererea modificată formulată de reclamanta A. SPA Italia în contradictoriu cu pârâta B. SpA Italia - Sucursala România, şi Asocierea B. SpA - C.SRL Nădlac - Arad Lot 2, obligând pârâta B. SpA Italia Sucursala România Bucureşti să plătească reclamantei suma totală de 84.081,06 Euro, reprezentând contravaloarea bunurilor livrate în baza ordinelor de achiziţie nr. 140935/002, nr. 140862/001 şi nr. 16S487/189, dobânda legală penalizatoare calculată asupra componentelor acestui debit, astfel: pentru suma de 8.331,03 Euro, de la data de 31.02.2015; pentru suma de 10.442,75 Euro, de la data de 12.05.2015; pentru suma de 14.978,53 Euro, de la data de 30.05.2015 şi pentru suma de 50.328,23 Euro de la data de 23.02.2017, suma de 152.193,94 Euro, reprezentând penalităţi de întârziere şi suma de 29.254,47 lei cu titlu de cheltuieli de judecată. Totodată, instanţa a respins ca neîntemeiată cererea formulată în contradictoriu cu Asocierea B. SpA - C.SRL Nădlac - Arad Lot 2.</w:t>
      </w:r>
    </w:p>
    <w:p w14:paraId="7F1A0AEF" w14:textId="77777777" w:rsidR="00C9417F" w:rsidRPr="00250C7F" w:rsidRDefault="00C9417F" w:rsidP="00C9417F">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Împotriva acestei </w:t>
      </w:r>
      <w:r w:rsidRPr="00250C7F">
        <w:rPr>
          <w:rFonts w:ascii="Times New Roman" w:eastAsia="Times New Roman" w:hAnsi="Times New Roman" w:cs="Times New Roman"/>
          <w:iCs/>
          <w:sz w:val="24"/>
          <w:szCs w:val="24"/>
        </w:rPr>
        <w:t xml:space="preserve">sentinţe a declarat apel </w:t>
      </w:r>
      <w:r w:rsidRPr="00250C7F">
        <w:rPr>
          <w:rFonts w:ascii="Times New Roman" w:eastAsia="Calibri" w:hAnsi="Times New Roman" w:cs="Times New Roman"/>
          <w:sz w:val="24"/>
          <w:szCs w:val="24"/>
        </w:rPr>
        <w:t>pârâta B. SPA Italia Sucursala România.</w:t>
      </w:r>
    </w:p>
    <w:p w14:paraId="25227EDE" w14:textId="77777777" w:rsidR="00C9417F" w:rsidRPr="00250C7F" w:rsidRDefault="00C9417F" w:rsidP="00C9417F">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decizia civilă nr. 110/2020 din 26 februarie 2020 pronunţată de </w:t>
      </w:r>
      <w:r w:rsidRPr="00250C7F">
        <w:rPr>
          <w:rFonts w:ascii="Times New Roman" w:eastAsia="Times New Roman" w:hAnsi="Times New Roman" w:cs="Times New Roman"/>
          <w:bCs/>
          <w:sz w:val="24"/>
          <w:szCs w:val="24"/>
        </w:rPr>
        <w:t xml:space="preserve">Curtea de Apel </w:t>
      </w:r>
      <w:r w:rsidRPr="00250C7F">
        <w:rPr>
          <w:rFonts w:ascii="Times New Roman" w:eastAsia="Calibri" w:hAnsi="Times New Roman" w:cs="Times New Roman"/>
          <w:sz w:val="24"/>
          <w:szCs w:val="24"/>
        </w:rPr>
        <w:t>Bucureşti,</w:t>
      </w:r>
      <w:r w:rsidRPr="00250C7F">
        <w:rPr>
          <w:rFonts w:ascii="Times New Roman" w:eastAsia="Times New Roman" w:hAnsi="Times New Roman" w:cs="Times New Roman"/>
          <w:bCs/>
          <w:sz w:val="24"/>
          <w:szCs w:val="24"/>
        </w:rPr>
        <w:t xml:space="preserve"> Secţia a VI-a civilă, a fost respins </w:t>
      </w:r>
      <w:r w:rsidRPr="00250C7F">
        <w:rPr>
          <w:rFonts w:ascii="Times New Roman" w:eastAsia="Calibri" w:hAnsi="Times New Roman" w:cs="Times New Roman"/>
          <w:sz w:val="24"/>
          <w:szCs w:val="24"/>
        </w:rPr>
        <w:t xml:space="preserve">ca nefondat apelul declarat de pârâta B. SPA Italia Sucursala Romania împotriva sentinţei civile nr. 593 din 8 martie 2019 pronunțată de Tribunalul București, Secția a VI-a civilă în dosarul nr. </w:t>
      </w:r>
      <w:r w:rsidRPr="00250C7F">
        <w:rPr>
          <w:rFonts w:ascii="Times New Roman" w:eastAsia="Times New Roman" w:hAnsi="Times New Roman" w:cs="Times New Roman"/>
          <w:sz w:val="24"/>
          <w:szCs w:val="24"/>
          <w:lang w:eastAsia="ro-RO"/>
        </w:rPr>
        <w:t>x/3/2018.</w:t>
      </w:r>
      <w:r w:rsidRPr="00250C7F">
        <w:rPr>
          <w:rFonts w:ascii="Times New Roman" w:eastAsia="Calibri" w:hAnsi="Times New Roman" w:cs="Times New Roman"/>
          <w:sz w:val="24"/>
          <w:szCs w:val="24"/>
        </w:rPr>
        <w:t xml:space="preserve"> </w:t>
      </w:r>
    </w:p>
    <w:p w14:paraId="3769D0DB" w14:textId="77777777" w:rsidR="00C9417F" w:rsidRPr="00250C7F" w:rsidRDefault="00C9417F" w:rsidP="00C9417F">
      <w:pPr>
        <w:spacing w:after="0" w:line="276" w:lineRule="auto"/>
        <w:ind w:firstLine="708"/>
        <w:jc w:val="both"/>
        <w:rPr>
          <w:rFonts w:ascii="Times New Roman" w:eastAsia="Calibri" w:hAnsi="Times New Roman" w:cs="Times New Roman"/>
          <w:bCs/>
          <w:sz w:val="24"/>
          <w:szCs w:val="24"/>
        </w:rPr>
      </w:pPr>
      <w:r w:rsidRPr="00250C7F">
        <w:rPr>
          <w:rFonts w:ascii="Times New Roman" w:eastAsia="Calibri" w:hAnsi="Times New Roman" w:cs="Times New Roman"/>
          <w:sz w:val="24"/>
          <w:szCs w:val="24"/>
        </w:rPr>
        <w:t>Împotriva acestei decizii,</w:t>
      </w:r>
      <w:r w:rsidRPr="00250C7F">
        <w:rPr>
          <w:rFonts w:ascii="Times New Roman" w:eastAsia="Calibri" w:hAnsi="Times New Roman" w:cs="Times New Roman"/>
          <w:bCs/>
          <w:sz w:val="24"/>
          <w:szCs w:val="24"/>
        </w:rPr>
        <w:t xml:space="preserve"> </w:t>
      </w:r>
      <w:r w:rsidRPr="00250C7F">
        <w:rPr>
          <w:rFonts w:ascii="Times New Roman" w:eastAsia="Times New Roman" w:hAnsi="Times New Roman" w:cs="Times New Roman"/>
          <w:sz w:val="24"/>
          <w:szCs w:val="24"/>
        </w:rPr>
        <w:t xml:space="preserve">pârâta B. SpA prin B. SPA Italia - Sucursala România </w:t>
      </w:r>
      <w:r w:rsidRPr="00250C7F">
        <w:rPr>
          <w:rFonts w:ascii="Times New Roman" w:eastAsia="Calibri" w:hAnsi="Times New Roman" w:cs="Times New Roman"/>
          <w:bCs/>
          <w:sz w:val="24"/>
          <w:szCs w:val="24"/>
        </w:rPr>
        <w:t>a declarat recurs.</w:t>
      </w:r>
    </w:p>
    <w:p w14:paraId="717E42F6" w14:textId="77777777" w:rsidR="00C9417F" w:rsidRPr="00250C7F" w:rsidRDefault="00C9417F" w:rsidP="00C9417F">
      <w:pPr>
        <w:spacing w:after="0" w:line="276" w:lineRule="auto"/>
        <w:ind w:firstLine="708"/>
        <w:jc w:val="both"/>
        <w:rPr>
          <w:rFonts w:ascii="Times New Roman" w:eastAsia="Times New Roman" w:hAnsi="Times New Roman" w:cs="Times New Roman"/>
          <w:sz w:val="24"/>
          <w:szCs w:val="24"/>
        </w:rPr>
      </w:pPr>
      <w:r w:rsidRPr="00250C7F">
        <w:rPr>
          <w:rFonts w:ascii="Times New Roman" w:eastAsia="Calibri" w:hAnsi="Times New Roman" w:cs="Times New Roman"/>
          <w:sz w:val="24"/>
          <w:szCs w:val="24"/>
        </w:rPr>
        <w:t>Prin memoriul de recurs, recurenta a</w:t>
      </w:r>
      <w:r w:rsidRPr="00250C7F">
        <w:rPr>
          <w:rFonts w:ascii="Times New Roman" w:eastAsia="Times New Roman" w:hAnsi="Times New Roman" w:cs="Times New Roman"/>
          <w:sz w:val="24"/>
          <w:szCs w:val="24"/>
          <w:lang w:eastAsia="ro-RO"/>
        </w:rPr>
        <w:t xml:space="preserve"> </w:t>
      </w:r>
      <w:r w:rsidRPr="00250C7F">
        <w:rPr>
          <w:rFonts w:ascii="Times New Roman" w:eastAsia="Times New Roman" w:hAnsi="Times New Roman" w:cs="Times New Roman"/>
          <w:sz w:val="24"/>
          <w:szCs w:val="24"/>
        </w:rPr>
        <w:t xml:space="preserve">solicitat, în temeiul art. 488 alin. 1 pct. 8 </w:t>
      </w:r>
      <w:r w:rsidRPr="00250C7F">
        <w:rPr>
          <w:rFonts w:ascii="Times New Roman" w:eastAsia="Times New Roman" w:hAnsi="Times New Roman" w:cs="Times New Roman"/>
          <w:sz w:val="24"/>
          <w:szCs w:val="24"/>
          <w:lang w:eastAsia="ro-RO"/>
        </w:rPr>
        <w:t>C. proc. civ.,</w:t>
      </w:r>
      <w:r w:rsidRPr="00250C7F">
        <w:rPr>
          <w:rFonts w:ascii="Times New Roman" w:eastAsia="Times New Roman" w:hAnsi="Times New Roman" w:cs="Times New Roman"/>
          <w:sz w:val="24"/>
          <w:szCs w:val="24"/>
        </w:rPr>
        <w:t xml:space="preserve"> adm</w:t>
      </w:r>
      <w:r w:rsidRPr="00250C7F">
        <w:rPr>
          <w:rFonts w:ascii="Times New Roman" w:eastAsia="Times New Roman" w:hAnsi="Times New Roman" w:cs="Times New Roman"/>
          <w:bCs/>
          <w:sz w:val="24"/>
          <w:szCs w:val="24"/>
          <w:lang w:bidi="pa-IN"/>
        </w:rPr>
        <w:t>iterea recursului,</w:t>
      </w:r>
      <w:r w:rsidRPr="00250C7F">
        <w:rPr>
          <w:rFonts w:ascii="Times New Roman" w:eastAsia="Times New Roman" w:hAnsi="Times New Roman" w:cs="Times New Roman"/>
          <w:sz w:val="24"/>
          <w:szCs w:val="24"/>
        </w:rPr>
        <w:t xml:space="preserve"> casarea deciziei atacate şi în rejudecare, respingerea cererii formulată de reclamantă.</w:t>
      </w:r>
    </w:p>
    <w:p w14:paraId="13DBDCAB" w14:textId="77777777" w:rsidR="00C9417F" w:rsidRPr="00250C7F" w:rsidRDefault="00C9417F" w:rsidP="00C9417F">
      <w:pPr>
        <w:widowControl w:val="0"/>
        <w:shd w:val="clear" w:color="auto" w:fill="FFFFFF"/>
        <w:autoSpaceDE w:val="0"/>
        <w:autoSpaceDN w:val="0"/>
        <w:adjustRightInd w:val="0"/>
        <w:spacing w:after="0" w:line="276" w:lineRule="auto"/>
        <w:ind w:firstLine="708"/>
        <w:jc w:val="both"/>
        <w:rPr>
          <w:rFonts w:ascii="Times New Roman" w:eastAsia="Calibri" w:hAnsi="Times New Roman" w:cs="Times New Roman"/>
          <w:sz w:val="24"/>
          <w:szCs w:val="24"/>
        </w:rPr>
      </w:pPr>
      <w:r w:rsidRPr="00250C7F">
        <w:rPr>
          <w:rFonts w:ascii="Times New Roman" w:eastAsia="Times New Roman" w:hAnsi="Times New Roman" w:cs="Times New Roman"/>
          <w:sz w:val="24"/>
          <w:szCs w:val="24"/>
        </w:rPr>
        <w:t xml:space="preserve">În argumentarea memoriului de recurs, întemeiat pe dispoziţiile art. 488 alin. 1 pct. 8 </w:t>
      </w:r>
      <w:r w:rsidRPr="00250C7F">
        <w:rPr>
          <w:rFonts w:ascii="Times New Roman" w:eastAsia="Times New Roman" w:hAnsi="Times New Roman" w:cs="Times New Roman"/>
          <w:sz w:val="24"/>
          <w:szCs w:val="24"/>
          <w:lang w:eastAsia="ro-RO"/>
        </w:rPr>
        <w:t>C. proc. civ.,</w:t>
      </w:r>
      <w:r w:rsidRPr="00250C7F">
        <w:rPr>
          <w:rFonts w:ascii="Times New Roman" w:eastAsia="Times New Roman" w:hAnsi="Times New Roman" w:cs="Times New Roman"/>
          <w:sz w:val="24"/>
          <w:szCs w:val="24"/>
        </w:rPr>
        <w:t xml:space="preserve"> recurenta</w:t>
      </w:r>
      <w:r w:rsidRPr="00250C7F">
        <w:rPr>
          <w:rFonts w:ascii="Times New Roman" w:eastAsia="Calibri" w:hAnsi="Times New Roman" w:cs="Times New Roman"/>
          <w:sz w:val="24"/>
          <w:szCs w:val="24"/>
        </w:rPr>
        <w:t xml:space="preserve"> susţine că hotărârea a fost dată cu încălcarea sau aplicarea greşită a normelor </w:t>
      </w:r>
      <w:r w:rsidRPr="00250C7F">
        <w:rPr>
          <w:rFonts w:ascii="Times New Roman" w:eastAsia="Calibri" w:hAnsi="Times New Roman" w:cs="Times New Roman"/>
          <w:sz w:val="24"/>
          <w:szCs w:val="24"/>
        </w:rPr>
        <w:lastRenderedPageBreak/>
        <w:t>de drept material, respectiv textul Regulamentului (UE) 2015/848 al Parlamentului European şi al Consiliului din 20 mai 2015 privind procedurile de insolvenţă, precum şi textul legii italiene, respectiv prevederile art. 168 din legea italiană a insolventei, reţinând că în cazul concordatului preventiv acestea nu prevăd efectul suspendării acţiunilor ce vizează patrimoniul debitoarei, ci doar interzic începerea sau continuarea acţiunilor de executare sau de protecţie asupra patrimoniului debitorului.</w:t>
      </w:r>
    </w:p>
    <w:p w14:paraId="74AD44FD" w14:textId="77777777" w:rsidR="00C9417F" w:rsidRPr="00250C7F" w:rsidRDefault="00C9417F" w:rsidP="00C9417F">
      <w:pPr>
        <w:widowControl w:val="0"/>
        <w:shd w:val="clear" w:color="auto" w:fill="FFFFFF"/>
        <w:autoSpaceDE w:val="0"/>
        <w:autoSpaceDN w:val="0"/>
        <w:adjustRightInd w:val="0"/>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în conformitate cu art. 168 din legea falimentului din Italia care reglementează procedura concordatului deschis cu privire la B. S.p. A. Italia, „De la data publicării recursului (n.r. cererii de deschidere a procedurii concordatului) la Registrul comerţului şi până în momentul în care decizia de aprobare a concordatului devine definitivă, creditorii cu titlu sau cauze anterioare nu au dreptul, sub sancţiunea nulităţii, să înceapă sau să continue acţiunile de executare şi de protecţie asupra patrimoniului debitorului”.</w:t>
      </w:r>
    </w:p>
    <w:p w14:paraId="363C98F1" w14:textId="77777777" w:rsidR="00C9417F" w:rsidRPr="00250C7F" w:rsidRDefault="00C9417F" w:rsidP="00C9417F">
      <w:pPr>
        <w:widowControl w:val="0"/>
        <w:shd w:val="clear" w:color="auto" w:fill="FFFFFF"/>
        <w:autoSpaceDE w:val="0"/>
        <w:autoSpaceDN w:val="0"/>
        <w:adjustRightInd w:val="0"/>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Din interpretarea textului citat se înţelege faptul că legea italiană nu se referă doar la procedurile de executare, aşa cum în mod greşit au susţinut cele două instanţe, ci la toate acţiunile ce vizează patrimoniul debitorului, prin urmare şi la acţiunile de obţinere a unui titlu executoriu (acestea fiind „...acţiuni de protecţie asupra patrimoniului debitorului”) cum este cererea ce face obiectul prezentului dosar. De asemenea, textul citat prevede clar că creditorii nu au dreptul „...să continue acţiunile de protecţie asupra patrimoniului debitorului”, ceea ce conduce la suspendarea acestor acţiuni.</w:t>
      </w:r>
    </w:p>
    <w:p w14:paraId="4DC43948" w14:textId="77777777" w:rsidR="00C9417F" w:rsidRPr="00250C7F" w:rsidRDefault="00C9417F" w:rsidP="00C9417F">
      <w:pPr>
        <w:widowControl w:val="0"/>
        <w:shd w:val="clear" w:color="auto" w:fill="FFFFFF"/>
        <w:autoSpaceDE w:val="0"/>
        <w:autoSpaceDN w:val="0"/>
        <w:adjustRightInd w:val="0"/>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cum s-a precizat în faţa celor două instanţe, cu privire la creanţele născute anterior deschiderii procedurii concordatului, recurenta nu poate efectua plăţi voluntare sau prin acţiuni judiciare sau de executare.</w:t>
      </w:r>
    </w:p>
    <w:p w14:paraId="7BD64FED" w14:textId="77777777" w:rsidR="00C9417F" w:rsidRPr="00250C7F" w:rsidRDefault="00C9417F" w:rsidP="00C9417F">
      <w:pPr>
        <w:widowControl w:val="0"/>
        <w:shd w:val="clear" w:color="auto" w:fill="FFFFFF"/>
        <w:autoSpaceDE w:val="0"/>
        <w:autoSpaceDN w:val="0"/>
        <w:adjustRightInd w:val="0"/>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Totodată, se arată că, potrivit art. 19 şi art. 32 din Regulamentul nr. 848/2015 al Parlamentului European şi al Consiliului, „hotărârea de deschidere a procedurii concordatului preventiv emisă de instanţele italiene, în temeiul legii falimentului din Italia este recunoscută în Romania fără nicio altă formalitate”.</w:t>
      </w:r>
    </w:p>
    <w:p w14:paraId="67C52FF4" w14:textId="77777777" w:rsidR="00C9417F" w:rsidRPr="00250C7F" w:rsidRDefault="00C9417F" w:rsidP="00C9417F">
      <w:pPr>
        <w:widowControl w:val="0"/>
        <w:shd w:val="clear" w:color="auto" w:fill="FFFFFF"/>
        <w:autoSpaceDE w:val="0"/>
        <w:autoSpaceDN w:val="0"/>
        <w:adjustRightInd w:val="0"/>
        <w:spacing w:after="0" w:line="276" w:lineRule="auto"/>
        <w:ind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acest context, se apreciază că B. SpA şi B. S.p.A. Italia Sucursala România nu pot efectua nicio plată pentru creanţe născute anterior deschiderii procedurii concordatului preventiv faţă de B. S.p.A. Italia.</w:t>
      </w:r>
    </w:p>
    <w:p w14:paraId="12CDA365" w14:textId="77777777" w:rsidR="00C9417F" w:rsidRPr="00250C7F" w:rsidRDefault="00C9417F" w:rsidP="00C9417F">
      <w:pPr>
        <w:widowControl w:val="0"/>
        <w:shd w:val="clear" w:color="auto" w:fill="FFFFFF"/>
        <w:autoSpaceDE w:val="0"/>
        <w:autoSpaceDN w:val="0"/>
        <w:adjustRightInd w:val="0"/>
        <w:spacing w:after="0" w:line="276" w:lineRule="auto"/>
        <w:ind w:firstLine="720"/>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după cum se poate observa, creanţa solicitată de creditoare este anterioară datei deschiderii procedurii concordatului preventiv prin Decretul Tribunalului Roma, Secţia Falimente din 17 octombrie 2018, având în vedere că se invocă facturi emise în perioada anterioară datei de 28 septembrie 2018.</w:t>
      </w:r>
    </w:p>
    <w:p w14:paraId="760227EA" w14:textId="77777777" w:rsidR="00C9417F" w:rsidRPr="00250C7F" w:rsidRDefault="00C9417F" w:rsidP="00C9417F">
      <w:pPr>
        <w:widowControl w:val="0"/>
        <w:shd w:val="clear" w:color="auto" w:fill="FFFFFF"/>
        <w:autoSpaceDE w:val="0"/>
        <w:autoSpaceDN w:val="0"/>
        <w:adjustRightInd w:val="0"/>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In acest context, se susţine că suma respectivă a fost transmisă şi înscrisă în planul propus în cadrul procedurii concordatului preventiv deschisă faţă de B. SpA Italia.</w:t>
      </w:r>
    </w:p>
    <w:p w14:paraId="4BC22E20" w14:textId="77777777" w:rsidR="00C9417F" w:rsidRPr="00250C7F" w:rsidRDefault="00C9417F" w:rsidP="00C9417F">
      <w:pPr>
        <w:widowControl w:val="0"/>
        <w:shd w:val="clear" w:color="auto" w:fill="FFFFFF"/>
        <w:autoSpaceDE w:val="0"/>
        <w:autoSpaceDN w:val="0"/>
        <w:adjustRightInd w:val="0"/>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De asemenea, se arată că A. SpA Italia a solicitat şi obţinut obligarea C. SRL la plata sumei de 76.096.97 Euro reprezentând penalităţi de întârziere, respectiv jumătate din suma de 152.193.94 Euro, pe care instanţa de fond a obligat recurenta să o plătească (aşa cum rezultă din sentinţa ataşată).</w:t>
      </w:r>
    </w:p>
    <w:p w14:paraId="73704DAD" w14:textId="77777777" w:rsidR="00C9417F" w:rsidRPr="00250C7F" w:rsidRDefault="00C9417F" w:rsidP="00C9417F">
      <w:pPr>
        <w:widowControl w:val="0"/>
        <w:shd w:val="clear" w:color="auto" w:fill="FFFFFF"/>
        <w:autoSpaceDE w:val="0"/>
        <w:autoSpaceDN w:val="0"/>
        <w:adjustRightInd w:val="0"/>
        <w:spacing w:after="0" w:line="276" w:lineRule="auto"/>
        <w:ind w:firstLine="70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Pentru aceste considerente, recurenta solicită admiterea recursului astfel cum a fost formulat în scris şi depus la dosar. </w:t>
      </w:r>
    </w:p>
    <w:p w14:paraId="3660CDB3" w14:textId="77777777" w:rsidR="00C9417F" w:rsidRPr="00250C7F" w:rsidRDefault="00C9417F" w:rsidP="00C9417F">
      <w:pPr>
        <w:spacing w:after="0" w:line="276" w:lineRule="auto"/>
        <w:ind w:firstLine="720"/>
        <w:contextualSpacing/>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sz w:val="24"/>
          <w:szCs w:val="24"/>
          <w:lang w:eastAsia="ro-RO"/>
        </w:rPr>
        <w:t xml:space="preserve">Prin întâmpinarea depusă la data de 6 august 2020, intimata-reclamanta </w:t>
      </w:r>
      <w:r w:rsidRPr="00250C7F">
        <w:rPr>
          <w:rFonts w:ascii="Times New Roman" w:eastAsia="Calibri" w:hAnsi="Times New Roman" w:cs="Times New Roman"/>
          <w:sz w:val="24"/>
          <w:szCs w:val="24"/>
        </w:rPr>
        <w:t xml:space="preserve">A. SpA Italia a invocat excepţia nulităţii recursului, iar pe fondul cauzei a solicitat respingerea recursului ca nefondat </w:t>
      </w:r>
      <w:r w:rsidRPr="00250C7F">
        <w:rPr>
          <w:rFonts w:ascii="Times New Roman" w:eastAsia="Times New Roman" w:hAnsi="Times New Roman" w:cs="Times New Roman"/>
          <w:bCs/>
          <w:iCs/>
          <w:sz w:val="24"/>
          <w:szCs w:val="24"/>
        </w:rPr>
        <w:t>şi</w:t>
      </w:r>
      <w:r w:rsidRPr="00250C7F">
        <w:rPr>
          <w:rFonts w:ascii="Times New Roman" w:eastAsia="Times New Roman" w:hAnsi="Times New Roman" w:cs="Times New Roman"/>
          <w:bCs/>
          <w:sz w:val="24"/>
          <w:szCs w:val="24"/>
          <w:lang w:eastAsia="ro-RO"/>
        </w:rPr>
        <w:t xml:space="preserve"> menţinerea deciziei atacate ca fiind legală şi temeinică.  </w:t>
      </w:r>
    </w:p>
    <w:p w14:paraId="3AC01C93" w14:textId="77777777" w:rsidR="00C9417F" w:rsidRPr="00250C7F" w:rsidRDefault="00C9417F" w:rsidP="00C9417F">
      <w:pPr>
        <w:spacing w:after="0" w:line="276" w:lineRule="auto"/>
        <w:ind w:firstLine="720"/>
        <w:jc w:val="both"/>
        <w:rPr>
          <w:rFonts w:ascii="Times New Roman" w:eastAsia="Times New Roman" w:hAnsi="Times New Roman" w:cs="Times New Roman"/>
          <w:sz w:val="24"/>
          <w:szCs w:val="24"/>
          <w:lang w:eastAsia="ro-RO"/>
        </w:rPr>
      </w:pPr>
      <w:r w:rsidRPr="00250C7F">
        <w:rPr>
          <w:rFonts w:ascii="Times New Roman" w:eastAsia="Times New Roman" w:hAnsi="Times New Roman" w:cs="Times New Roman"/>
          <w:sz w:val="24"/>
          <w:szCs w:val="24"/>
          <w:lang w:eastAsia="ro-RO"/>
        </w:rPr>
        <w:lastRenderedPageBreak/>
        <w:t>Prin răspunsul la întâmpinare, depus la 24 august 2020, recurenta B. SpA prin B. SPA Italia - Sucursala România Bucureşti a solicitat înlăturarea susţinerilor ca fiind nefondate şi admiterea recursului astfel cum a fost formulat în scris şi depus la dosar.</w:t>
      </w:r>
    </w:p>
    <w:p w14:paraId="7715175B"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Înalta Curte, a procedat la întocmirea raportului asupra admisibilităţii în principiu a recursului, în temeiul art. 493 alin. 2 C. proc. civ. </w:t>
      </w:r>
    </w:p>
    <w:p w14:paraId="7F2DE3BC"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Prin încheierea din Camera de consiliu din 29 octombrie 2020, potrivit dispoziţiilor art. 494 alin. 4 C. proc. civ., în unanimitate, s-a dispus comunicarea către părţi a raportului asupra admisibilităţii în principiu a recursului.  </w:t>
      </w:r>
    </w:p>
    <w:p w14:paraId="1E868FDF"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Potrivit dovezilor de comunicare, raportul asupra admisibilităţii în principiu a recursului a fost comunicat părţilor la data de 3 noiembrie 2020, intimata depunând punct de vedere. </w:t>
      </w:r>
    </w:p>
    <w:p w14:paraId="2B4A1922"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Prin încheierea din 17 decembrie 2020, Înalta Curte de Casaţie şi Justiţie, Secţia a II-a civilă a admis în principiu recursul declarat de </w:t>
      </w:r>
      <w:r w:rsidRPr="00250C7F">
        <w:rPr>
          <w:rFonts w:ascii="Times New Roman" w:hAnsi="Times New Roman" w:cs="Times New Roman"/>
          <w:sz w:val="24"/>
          <w:szCs w:val="24"/>
        </w:rPr>
        <w:t xml:space="preserve">recurenta-pârâtă B. SPA Italia Sucursala Romania împotriva deciziei civile nr. 110/2020 din 26 februarie 2020 pronunţată de Curtea de Apel Bucureşti, Secţia a VI-a civilă </w:t>
      </w:r>
      <w:r w:rsidRPr="00250C7F">
        <w:rPr>
          <w:rFonts w:ascii="Times New Roman" w:eastAsia="Times New Roman" w:hAnsi="Times New Roman" w:cs="Times New Roman"/>
          <w:bCs/>
          <w:sz w:val="24"/>
          <w:szCs w:val="24"/>
          <w:lang w:eastAsia="ro-RO"/>
        </w:rPr>
        <w:t xml:space="preserve">şi a acordat termen la data de </w:t>
      </w:r>
      <w:r w:rsidRPr="00250C7F">
        <w:rPr>
          <w:rFonts w:ascii="Times New Roman" w:eastAsia="Calibri" w:hAnsi="Times New Roman" w:cs="Times New Roman"/>
          <w:sz w:val="24"/>
          <w:szCs w:val="24"/>
        </w:rPr>
        <w:t>18 februarie 2021.</w:t>
      </w:r>
    </w:p>
    <w:p w14:paraId="54B2ECE4" w14:textId="77777777" w:rsidR="00C9417F" w:rsidRPr="00250C7F" w:rsidRDefault="00C9417F" w:rsidP="00C9417F">
      <w:pPr>
        <w:spacing w:after="0" w:line="276" w:lineRule="auto"/>
        <w:ind w:firstLine="720"/>
        <w:jc w:val="both"/>
        <w:rPr>
          <w:rFonts w:ascii="Times New Roman" w:eastAsia="Times New Roman" w:hAnsi="Times New Roman" w:cs="Times New Roman"/>
          <w:bCs/>
          <w:i/>
          <w:sz w:val="24"/>
          <w:szCs w:val="24"/>
          <w:lang w:eastAsia="ro-RO"/>
        </w:rPr>
      </w:pPr>
      <w:r w:rsidRPr="00250C7F">
        <w:rPr>
          <w:rFonts w:ascii="Times New Roman" w:eastAsia="Times New Roman" w:hAnsi="Times New Roman" w:cs="Times New Roman"/>
          <w:bCs/>
          <w:i/>
          <w:sz w:val="24"/>
          <w:szCs w:val="24"/>
          <w:lang w:eastAsia="ro-RO"/>
        </w:rPr>
        <w:t xml:space="preserve">Analizând decizia atacată prin prisma criticilor formulate şi a dispoziţiilor legale aplicabile cauzei, Înalta Curte a reţinut că recursul declarat de </w:t>
      </w:r>
      <w:r w:rsidRPr="00250C7F">
        <w:rPr>
          <w:rFonts w:ascii="Times New Roman" w:hAnsi="Times New Roman" w:cs="Times New Roman"/>
          <w:bCs/>
          <w:i/>
          <w:sz w:val="24"/>
          <w:szCs w:val="24"/>
        </w:rPr>
        <w:t>recurenta-pârâtă B. SPA Italia Sucursala Romania</w:t>
      </w:r>
      <w:r w:rsidRPr="00250C7F">
        <w:rPr>
          <w:rFonts w:ascii="Times New Roman" w:eastAsia="Calibri" w:hAnsi="Times New Roman" w:cs="Times New Roman"/>
          <w:i/>
          <w:sz w:val="24"/>
          <w:szCs w:val="24"/>
        </w:rPr>
        <w:t xml:space="preserve"> </w:t>
      </w:r>
      <w:r w:rsidRPr="00250C7F">
        <w:rPr>
          <w:rFonts w:ascii="Times New Roman" w:eastAsia="Times New Roman" w:hAnsi="Times New Roman" w:cs="Times New Roman"/>
          <w:bCs/>
          <w:i/>
          <w:sz w:val="24"/>
          <w:szCs w:val="24"/>
        </w:rPr>
        <w:t>e</w:t>
      </w:r>
      <w:r w:rsidRPr="00250C7F">
        <w:rPr>
          <w:rFonts w:ascii="Times New Roman" w:eastAsia="Times New Roman" w:hAnsi="Times New Roman" w:cs="Times New Roman"/>
          <w:bCs/>
          <w:i/>
          <w:sz w:val="24"/>
          <w:szCs w:val="24"/>
          <w:lang w:eastAsia="ro-RO"/>
        </w:rPr>
        <w:t>ste nefondat, urmând a fi respins, pentru următoarele considerente:</w:t>
      </w:r>
    </w:p>
    <w:p w14:paraId="6F36C1DD"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Motivul prevăzut de art. 488 alin. 1 pct. 8 C. proc. civ. poate fi invocat atunci când hotărârea pronunţată a fost dată cu încălcarea sau aplicarea greşită a normelor de drept material.</w:t>
      </w:r>
    </w:p>
    <w:p w14:paraId="22B82FBA"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argumentarea acestui motiv de recurs, recurentul arată că instanța de apel a pronunţat o hotărâre cu încălcarea sau aplicarea greşită a normelor de drept material, respectiv textul Regulamentului (UE) 2015/848 al Parlamentului European şi al Consiliului din 20 mai 2015 privind procedurile de insolvenţă, precum şi textul legii italiene, respectiv prevederile art. 168 din legea italiană a insolventei, reţinând că în cazul concordatului preventiv acestea nu prevăd efectul suspendării acţiunilor ce vizează patrimoniul debitoarei, ci doar interzic începerea sau continuarea acţiunilor de executare sau de protecţie asupra patrimoniului debitorului.</w:t>
      </w:r>
    </w:p>
    <w:p w14:paraId="0F0BB08A"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Astfel, cu privire la creanţele născute anterior deschiderii procedurii concordatului, se arată că recurenta nu poate efectua plăţi voluntare sau prin acţiuni judiciare sau de executare şi că, creanţa solicitată de creditoare este anterioară datei deschiderii procedurii concordatului preventiv prin Decretul Tribunalului Roma, Secţia Falimente din 17 octombrie 2018, având în vedere că se invocă facturi emise în perioada anterioară datei de 28 septembrie 2018.</w:t>
      </w:r>
    </w:p>
    <w:p w14:paraId="4E8059ED"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Aceste critici sunt nefondate, având în vedere că recurenta face analiza dispoziţiilor legii italiene cu privire la concordatul preventiv, deşi cele două instanţe au reţinut în mod corect, în conformitate cu dispoziţiile Regulamentului (UE) 2015/848, că acestea nu sunt incidente în prezenta cauză.</w:t>
      </w:r>
    </w:p>
    <w:p w14:paraId="2D06B0FD"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Totodată, se reţine că susţinerile recurentei se întemeiază pe redarea incompletă a prevederilor Regulamentului (UE) 2015/848 al Parlamentului European şi al Consiliului privind procedurile de insolvenţă.</w:t>
      </w:r>
    </w:p>
    <w:p w14:paraId="74C0B638"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Astfel, în conformitate cu art. 18 din Regulamentul (UE) 2015/848 al Parlamentului European şi al Consiliului din 20 mai 2015 privind procedurile de insolvenţă, „efectele procedurii de insolvenţă asupra unei acţiuni în justiţie în desfăşurare [...] având ca obiect un activ sau un drept care face parte din masa bunurilor care face obiectul insolvenţei unui debitor, se reglementează exclusiv prin legislaţia statului membru în care se desfăşoară procesul”. </w:t>
      </w:r>
    </w:p>
    <w:p w14:paraId="201B7A28"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lastRenderedPageBreak/>
        <w:t>Aşadar, potrivit art. 7 alin. 2 lit. f) din Regulament, „legea statului de deschidere determină condiţiile pentru deschiderea, desfăşurarea şi închiderea procedurii de insolvenţă. Aceasta determină în special:[…] f) efectele procedurii de insolvenţă asupra acţiunilor individuale intentate de creditori, cu excepţia proceselor în curs de soluţionare”.</w:t>
      </w:r>
    </w:p>
    <w:p w14:paraId="592A1517" w14:textId="77777777" w:rsidR="00C9417F" w:rsidRPr="00250C7F" w:rsidRDefault="00C9417F" w:rsidP="00C9417F">
      <w:pPr>
        <w:spacing w:after="0" w:line="276" w:lineRule="auto"/>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b/>
        <w:t>Din această perspectivă, se reţine că hotărârea Tribunalului din Roma datează din 17 octombrie 2018, iar cererea de chemare în judecată a fost înaintată Tribunalului Bucureşti la 10 mai 2018, context în care se apreciază că, în speţă, este vorba despre un proces în curs de soluţionare ce intră în sfera de aplicare a art. 7 alin. 2 lit. f) teza finală din Regulament, nefiind aplicabilă legea italiană, ci legea română, respectiv Legea nr. 85/2014, care, în situaţia concordatului preventiv, prevede exclusiv suspendarea urmăririlor silite individuale până la pronunţarea unei hotărâri executorii de omologare a concordatului sau până la respingerea ofertei de concordat [art. 17 lit. d) şi art. 25 alin. (3)], iar nu suspendarea judecăţii.</w:t>
      </w:r>
    </w:p>
    <w:p w14:paraId="3E77F4EA"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Aşadar, legea română care reglementează procedura de concordat preventiv este Legea nr. 85/2014 privind procedurile de prevenire a insolvenţei şi de insolvenţă, referitoare la concordatul preventiv, care nu prevede suspendarea proceselor aflate pe rolul instanţelor de judecată, în curs de soluţionare.</w:t>
      </w:r>
    </w:p>
    <w:p w14:paraId="1AFB7B85"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Menţiunea referitoare la suspendare privind concordatul preventiv se regăseşte la art. 29 din Legea nr. 85/2014, care prevede că suspendarea este prevăzută de lege doar pentru procedurile de executare silită, nu şi pentru procesele aflate pe rol şi că se suspendă de drept doar executările silite începute de creditorii semnatari ai planului de redresare, nu şi de către creditorii care au nu au fost incluşi în acest plan.</w:t>
      </w:r>
    </w:p>
    <w:p w14:paraId="3CBE4DDF"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Prin urmare, solicitarea recurentei privind suspendarea prezentei cauze până în momentul în care decizia de aprobare a concordatului devine definitivă nu are niciun temei legal, având în vedere faptul că legea aplicabilă este legea română, iar aceasta nu prevede suspendarea proceselor în curs de soluţionare în cazul în care debitorul este în procedura de concordat preventiv.</w:t>
      </w:r>
    </w:p>
    <w:p w14:paraId="6BBE3276"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În ceea ce priveşte aplicabilitatea dispoziţiilor art. 168 din legea falimentului din Italia care reglementează procedura concordatului deschis cu privire la B. S.p. A. Italia, recurenta susţine că din interpretarea acestor dispoziţii rezultă că legea italiană nu se referă doar la procedurile de executare, ci la toate acţiunile ce vizează patrimoniul debitorului, prin urmare şi la acţiunile de obţinere a unui titlu executoriu, cum este cererea ce face obiectul prezentului dosar, iar creditorii nu au dreptul „...să continue acţiunile de protecţie asupra patrimoniului debitorului”, ceea ce conduce la suspendarea acestor acţiuni.</w:t>
      </w:r>
    </w:p>
    <w:p w14:paraId="7AA2B985"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Dispoziţiile art. 168 din Legea insolvenţei din Italia prevăd că: „de la data publicării cererii la Registrul Comerţului şi până la momentul rămânerii definitive a încheierii de omologare a concordatului preventiv, creditorii în baza unui titlu sau unei cauze anterioare nu pot iniţia sau continua, sub sancţiunea nulităţii, acţiuni de executare silită şi cele având ca obiect instituirea unor măsuri asigurătorii asupra patrimoniului debitorului”.</w:t>
      </w:r>
    </w:p>
    <w:p w14:paraId="4FB42FCE" w14:textId="77777777" w:rsidR="00C9417F" w:rsidRPr="00250C7F" w:rsidRDefault="00C9417F" w:rsidP="00C9417F">
      <w:pPr>
        <w:spacing w:after="0" w:line="276" w:lineRule="auto"/>
        <w:ind w:firstLine="720"/>
        <w:jc w:val="both"/>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Din analiza textului de lege, cu referire la aplicabilitatea legii italiene, se constată că acesta nu prevede suspendarea proceselor în curs de judecată, ci doar interzice începerea sau continuarea acţiunilor de executare sau de protecţie asupra patrimoniului debitorului, având în vedere că prin cererea de chemare în judecată nu s-a solicitat executarea silită a recurentei şi nici instituirea de măsuri asigurătorii asupra patrimoniului debitoarei B. SpA, aşa încât nu intervine suspendarea cauzei în temeiul dispoziţiilor evocate de recurentă.</w:t>
      </w:r>
    </w:p>
    <w:p w14:paraId="4E9AE1DA" w14:textId="77777777" w:rsidR="00C9417F" w:rsidRPr="00250C7F" w:rsidRDefault="00C9417F" w:rsidP="00C9417F">
      <w:pPr>
        <w:spacing w:after="0" w:line="276" w:lineRule="auto"/>
        <w:ind w:firstLine="720"/>
        <w:jc w:val="both"/>
        <w:rPr>
          <w:rFonts w:ascii="Times New Roman" w:eastAsiaTheme="minorEastAsia" w:hAnsi="Times New Roman" w:cs="Times New Roman"/>
          <w:sz w:val="24"/>
          <w:szCs w:val="24"/>
          <w:lang w:eastAsia="ro-RO"/>
        </w:rPr>
      </w:pPr>
      <w:r w:rsidRPr="00250C7F">
        <w:rPr>
          <w:rFonts w:ascii="Times New Roman" w:eastAsiaTheme="minorEastAsia" w:hAnsi="Times New Roman" w:cs="Times New Roman"/>
          <w:sz w:val="24"/>
          <w:szCs w:val="24"/>
          <w:lang w:eastAsia="ro-RO"/>
        </w:rPr>
        <w:lastRenderedPageBreak/>
        <w:t xml:space="preserve">Înalta Curte mai reţine că susţinerile recurentei referitoare la înscrierea creanţei în tabelul creditorilor în cadrul procedurii desfăşurate pe teritoriul statului italian, precum şi cele referitoare la pretinsa recuperare de către intimată a sumei în litigiu de la un terţ nu reprezintă critici de nelegalitate ce ar putea fi încadrate în motivele de casare reglementate de art. 488 C. proc. civ.  </w:t>
      </w:r>
    </w:p>
    <w:p w14:paraId="26D7573E" w14:textId="77777777" w:rsidR="00C9417F" w:rsidRPr="00250C7F" w:rsidRDefault="00C9417F" w:rsidP="00C9417F">
      <w:pPr>
        <w:spacing w:after="0" w:line="276" w:lineRule="auto"/>
        <w:ind w:firstLine="720"/>
        <w:jc w:val="both"/>
        <w:rPr>
          <w:rFonts w:ascii="Times New Roman" w:eastAsia="Times New Roman" w:hAnsi="Times New Roman" w:cs="Times New Roman"/>
          <w:b/>
          <w:sz w:val="24"/>
          <w:szCs w:val="24"/>
          <w:lang w:eastAsia="ro-RO"/>
        </w:rPr>
      </w:pPr>
      <w:r w:rsidRPr="00250C7F">
        <w:rPr>
          <w:rFonts w:ascii="Times New Roman" w:eastAsiaTheme="minorEastAsia" w:hAnsi="Times New Roman" w:cs="Times New Roman"/>
          <w:sz w:val="24"/>
          <w:szCs w:val="24"/>
          <w:lang w:eastAsia="ro-RO"/>
        </w:rPr>
        <w:t xml:space="preserve">În consecinţă, acestea nu pot fi analizate în cadrul recursului prin raportare la dispoziţiile art. 483 alin. 3 C. proc. civ.  </w:t>
      </w:r>
    </w:p>
    <w:p w14:paraId="2E3AA058" w14:textId="77777777" w:rsidR="00C9417F" w:rsidRPr="00250C7F" w:rsidRDefault="00C9417F" w:rsidP="00C9417F">
      <w:pPr>
        <w:spacing w:after="0" w:line="276" w:lineRule="auto"/>
        <w:ind w:firstLine="720"/>
        <w:jc w:val="both"/>
        <w:rPr>
          <w:rFonts w:ascii="Times New Roman" w:eastAsiaTheme="minorEastAsia" w:hAnsi="Times New Roman" w:cs="Times New Roman"/>
          <w:sz w:val="24"/>
          <w:szCs w:val="24"/>
          <w:lang w:eastAsia="ro-RO"/>
        </w:rPr>
      </w:pPr>
      <w:r w:rsidRPr="00250C7F">
        <w:rPr>
          <w:rFonts w:ascii="Times New Roman" w:eastAsiaTheme="minorEastAsia" w:hAnsi="Times New Roman" w:cs="Times New Roman"/>
          <w:sz w:val="24"/>
          <w:szCs w:val="24"/>
          <w:lang w:eastAsia="ro-RO"/>
        </w:rPr>
        <w:t xml:space="preserve">Pentru toate argumentele ce preced, în temeiul art. 496 alin. 1 C. proc. civ., Înalta Curte a respins ca nefondat recursul declarat de </w:t>
      </w:r>
      <w:r w:rsidRPr="00250C7F">
        <w:rPr>
          <w:rFonts w:ascii="Times New Roman" w:hAnsi="Times New Roman" w:cs="Times New Roman"/>
          <w:sz w:val="24"/>
          <w:szCs w:val="24"/>
        </w:rPr>
        <w:t>recurenta-pârâtă B. SPA Italia Sucursala Romania împotriva deciziei civile nr. 110/2020 din 26 februarie 2020 pronunţată de Curtea de Apel Bucureşti, Secţia a VI-a civilă.</w:t>
      </w:r>
    </w:p>
    <w:p w14:paraId="6909D36C" w14:textId="18E90C1E" w:rsidR="00DD1F71" w:rsidRPr="00250C7F" w:rsidRDefault="00DD1F71" w:rsidP="00DD1F71">
      <w:pPr>
        <w:rPr>
          <w:sz w:val="24"/>
          <w:szCs w:val="24"/>
        </w:rPr>
      </w:pPr>
    </w:p>
    <w:p w14:paraId="410C8942" w14:textId="03DDA4D9" w:rsidR="00AB24FB" w:rsidRPr="00250C7F" w:rsidRDefault="00AB24FB" w:rsidP="00891584">
      <w:pPr>
        <w:pStyle w:val="Heading1"/>
        <w:spacing w:line="276" w:lineRule="auto"/>
        <w:rPr>
          <w:sz w:val="24"/>
          <w:szCs w:val="24"/>
          <w:lang w:val="ro-RO"/>
        </w:rPr>
      </w:pPr>
      <w:bookmarkStart w:id="51" w:name="_Toc84584830"/>
      <w:r w:rsidRPr="00250C7F">
        <w:rPr>
          <w:sz w:val="24"/>
          <w:szCs w:val="24"/>
          <w:lang w:val="ro-RO"/>
        </w:rPr>
        <w:t>DREPT PROCESUAL PENAL</w:t>
      </w:r>
      <w:bookmarkEnd w:id="51"/>
    </w:p>
    <w:p w14:paraId="18FA77BB" w14:textId="77777777" w:rsidR="0016020A" w:rsidRPr="00250C7F" w:rsidRDefault="0016020A" w:rsidP="00891584">
      <w:pPr>
        <w:spacing w:line="276" w:lineRule="auto"/>
        <w:jc w:val="both"/>
        <w:rPr>
          <w:rFonts w:ascii="Times New Roman" w:hAnsi="Times New Roman" w:cs="Times New Roman"/>
          <w:b/>
          <w:sz w:val="24"/>
          <w:szCs w:val="24"/>
        </w:rPr>
      </w:pPr>
    </w:p>
    <w:p w14:paraId="5BCFF0BD" w14:textId="5EBA8CA4" w:rsidR="00DA7779" w:rsidRPr="00250C7F" w:rsidRDefault="00B76B8F" w:rsidP="000303CA">
      <w:pPr>
        <w:pStyle w:val="Heading3"/>
        <w:spacing w:before="0"/>
        <w:jc w:val="both"/>
        <w:rPr>
          <w:rFonts w:ascii="Times New Roman" w:eastAsia="Calibri" w:hAnsi="Times New Roman" w:cs="Times New Roman"/>
          <w:b/>
          <w:color w:val="auto"/>
        </w:rPr>
      </w:pPr>
      <w:bookmarkStart w:id="52" w:name="_Toc84584831"/>
      <w:r w:rsidRPr="00250C7F">
        <w:rPr>
          <w:rFonts w:ascii="Times New Roman" w:hAnsi="Times New Roman" w:cs="Times New Roman"/>
          <w:b/>
          <w:color w:val="auto"/>
        </w:rPr>
        <w:t xml:space="preserve">1. </w:t>
      </w:r>
      <w:r w:rsidR="00875B1F" w:rsidRPr="00250C7F">
        <w:rPr>
          <w:rFonts w:ascii="Times New Roman" w:eastAsia="Calibri" w:hAnsi="Times New Roman" w:cs="Times New Roman"/>
          <w:b/>
          <w:color w:val="auto"/>
        </w:rPr>
        <w:t>Cameră preliminară. Competenţa Direcţiei Naţionale Anticorupţie. Abuz în serviciu</w:t>
      </w:r>
      <w:bookmarkEnd w:id="52"/>
    </w:p>
    <w:p w14:paraId="53535827" w14:textId="77777777" w:rsidR="00DA7779" w:rsidRPr="00250C7F" w:rsidRDefault="00DA7779" w:rsidP="000303CA">
      <w:pPr>
        <w:spacing w:after="0" w:line="240" w:lineRule="auto"/>
        <w:rPr>
          <w:rFonts w:ascii="Times New Roman" w:eastAsia="Calibri" w:hAnsi="Times New Roman" w:cs="Times New Roman"/>
          <w:b/>
          <w:sz w:val="24"/>
          <w:szCs w:val="24"/>
        </w:rPr>
      </w:pPr>
    </w:p>
    <w:p w14:paraId="1D8BF8B1" w14:textId="77777777" w:rsidR="00875B1F" w:rsidRPr="00250C7F" w:rsidRDefault="00DA7779" w:rsidP="000303CA">
      <w:pPr>
        <w:spacing w:after="0" w:line="240" w:lineRule="auto"/>
        <w:jc w:val="right"/>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                       </w:t>
      </w:r>
      <w:r w:rsidR="00875B1F" w:rsidRPr="00250C7F">
        <w:rPr>
          <w:rFonts w:ascii="Times New Roman" w:eastAsia="Calibri" w:hAnsi="Times New Roman" w:cs="Times New Roman"/>
          <w:sz w:val="24"/>
          <w:szCs w:val="24"/>
        </w:rPr>
        <w:t>C. pen., art. 297</w:t>
      </w:r>
    </w:p>
    <w:p w14:paraId="551EAFB7" w14:textId="5D370172" w:rsidR="00DA7779" w:rsidRPr="00250C7F" w:rsidRDefault="00875B1F" w:rsidP="000303CA">
      <w:pPr>
        <w:spacing w:after="0" w:line="240" w:lineRule="auto"/>
        <w:jc w:val="right"/>
        <w:rPr>
          <w:rFonts w:ascii="Times New Roman" w:eastAsia="Calibri" w:hAnsi="Times New Roman" w:cs="Times New Roman"/>
          <w:sz w:val="24"/>
          <w:szCs w:val="24"/>
        </w:rPr>
      </w:pPr>
      <w:r w:rsidRPr="00250C7F">
        <w:rPr>
          <w:rFonts w:ascii="Times New Roman" w:eastAsia="Calibri" w:hAnsi="Times New Roman" w:cs="Times New Roman"/>
          <w:sz w:val="24"/>
          <w:szCs w:val="24"/>
        </w:rPr>
        <w:t>O. U. G. nr. 43/2002, art. 13 alin. (3)</w:t>
      </w:r>
    </w:p>
    <w:p w14:paraId="223F5000" w14:textId="77777777" w:rsidR="00875B1F" w:rsidRPr="00250C7F" w:rsidRDefault="00875B1F" w:rsidP="00875B1F">
      <w:pPr>
        <w:spacing w:after="0" w:line="276" w:lineRule="auto"/>
        <w:jc w:val="right"/>
        <w:rPr>
          <w:rFonts w:ascii="Times New Roman" w:eastAsia="Calibri" w:hAnsi="Times New Roman" w:cs="Times New Roman"/>
          <w:sz w:val="24"/>
          <w:szCs w:val="24"/>
        </w:rPr>
      </w:pPr>
    </w:p>
    <w:p w14:paraId="35EB87CA" w14:textId="4CD2CD58" w:rsidR="00DA7779" w:rsidRPr="00250C7F" w:rsidRDefault="00DA7779" w:rsidP="00875B1F">
      <w:pPr>
        <w:spacing w:after="0" w:line="276" w:lineRule="auto"/>
        <w:jc w:val="both"/>
        <w:rPr>
          <w:rFonts w:ascii="Times New Roman" w:eastAsia="Calibri" w:hAnsi="Times New Roman" w:cs="Times New Roman"/>
          <w:i/>
          <w:sz w:val="24"/>
          <w:szCs w:val="24"/>
        </w:rPr>
      </w:pPr>
      <w:r w:rsidRPr="00250C7F">
        <w:rPr>
          <w:rFonts w:ascii="Times New Roman" w:eastAsia="Calibri" w:hAnsi="Times New Roman" w:cs="Times New Roman"/>
          <w:sz w:val="24"/>
          <w:szCs w:val="24"/>
        </w:rPr>
        <w:tab/>
      </w:r>
      <w:r w:rsidR="00875B1F" w:rsidRPr="00250C7F">
        <w:rPr>
          <w:rFonts w:ascii="Times New Roman" w:eastAsia="Calibri" w:hAnsi="Times New Roman" w:cs="Times New Roman"/>
          <w:i/>
          <w:sz w:val="24"/>
          <w:szCs w:val="24"/>
        </w:rPr>
        <w:t>În conformitate cu dispoziţiile art. 13 alin. (3) din O. U. G. nr. 43/2002, infracţiunea de abuz în serviciu încadrată în art. 297 alin. (1) C. pen., inclusiv în cazul reţinerii formei continuate şi al aplicării prevederilor art. 35 alin. (1) C. pen., este de competenţa Direcţiei Naţionale Anticorupţie, numai în ipoteza în care s-a cauzat o pagubă materială mai mare decât echivalentul în lei a 1.000.000 euro. Incidenţa dispoziţiilor art. 13 alin. (1) lit. a) teza I din O. U. G. nr. 43/2002 - potrivit cărora sunt de competenţa Direcției Naționale Anticorupție infracțiunile prevăzute în Legea nr. 78/2000, dacă, indiferent de calitatea persoanelor care le-au comis, au cauzat o pagubă materială mai mare decât echivalentul în lei a 200.000 euro - implică reţinerea prevederilor art. 132 din Legea nr. 78/2000 în încadrarea juridică a faptei de abuz în serviciu.</w:t>
      </w:r>
    </w:p>
    <w:p w14:paraId="4E1C9025" w14:textId="77777777" w:rsidR="00875B1F" w:rsidRPr="00250C7F" w:rsidRDefault="00875B1F" w:rsidP="00875B1F">
      <w:pPr>
        <w:spacing w:after="0" w:line="276" w:lineRule="auto"/>
        <w:jc w:val="both"/>
        <w:rPr>
          <w:rFonts w:ascii="Times New Roman" w:eastAsia="Calibri" w:hAnsi="Times New Roman" w:cs="Times New Roman"/>
          <w:sz w:val="24"/>
          <w:szCs w:val="24"/>
        </w:rPr>
      </w:pPr>
    </w:p>
    <w:p w14:paraId="50B11CC3" w14:textId="21502B49" w:rsidR="004F531A" w:rsidRPr="00250C7F" w:rsidRDefault="00DA7779" w:rsidP="00891584">
      <w:pPr>
        <w:spacing w:after="0" w:line="276" w:lineRule="auto"/>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I.C.C.J., Secţia penală, </w:t>
      </w:r>
      <w:r w:rsidR="00875B1F" w:rsidRPr="00250C7F">
        <w:rPr>
          <w:rFonts w:ascii="Times New Roman" w:eastAsia="Calibri" w:hAnsi="Times New Roman" w:cs="Times New Roman"/>
          <w:sz w:val="24"/>
          <w:szCs w:val="24"/>
        </w:rPr>
        <w:t>completul de 2 judecători de cameră preliminară, încheierea nr. 33 din 20 ianuarie 2021</w:t>
      </w:r>
    </w:p>
    <w:p w14:paraId="1B994685" w14:textId="77777777" w:rsidR="00875B1F" w:rsidRPr="00250C7F" w:rsidRDefault="00875B1F" w:rsidP="00891584">
      <w:pPr>
        <w:spacing w:after="0" w:line="276" w:lineRule="auto"/>
        <w:rPr>
          <w:rFonts w:ascii="Times New Roman" w:eastAsia="Calibri" w:hAnsi="Times New Roman" w:cs="Times New Roman"/>
          <w:b/>
          <w:sz w:val="24"/>
          <w:szCs w:val="24"/>
        </w:rPr>
      </w:pPr>
    </w:p>
    <w:p w14:paraId="0BEB13AB"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încheierea din camera de consiliu de la data de 21 iulie 2020, judecătorul de cameră preliminară din cadrul Curţii de Apel Craiova a constatat neregularitatea rechizitoriului nr. X. din 31 ianuarie 2020 al Parchetului de pe lângă Curtea de Apel Craiova în ceea ce priveşte contradicția dintre considerentele rechizitoriului cu privire la descrierea faptei de la punctul 1, pe de o parte, şi ordonanţa de punere în mişcare a acţiunii penale, precum şi dispozitivul rechizitoriului, pe de altă parte, referitoare la infracţiunea de abuz în serviciu, prevăzută în art. 297 alin. (1) C. pen., cu aplicarea art. 35 alin. (1) C. pen. imputată inculpatului A., în calitate de executor judecătoresc, cu privire la descrierea faptei raportat la precizările privind destinaţia sumelor de bani cu valoare totală mai mare de 200.000 euro, cu consecinţa imposibilităţii stabilirii competenţei materiale a organului de urmărire penală, respectiv Direcţia Naţională Anticorupţie sau parchetul de pe lângă curtea de apel.</w:t>
      </w:r>
    </w:p>
    <w:p w14:paraId="545E3B32"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S-a dispus, totodată, ca procurorul să comunice judecătorului de cameră preliminară, dacă menţine dispoziţia de trimitere în judecată ori solicită restituirea cauzei și s-a stabilit termen pentru finalizarea procedurii camerei preliminare la 7 septembrie 2020.</w:t>
      </w:r>
    </w:p>
    <w:p w14:paraId="3E11D038"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încheierea nr. 3 din 29 octombrie 2020 pronunțată de Curtea de Apel Craiova, Secția penală și pentru cauze cu minori, în baza art. 346 alin. (3) lit. a) C. proc. pen., s-a restituit cauza privind pe inculpatul A., trimis în judecată prin rechizitoriul nr. X. din 31 ianuarie 2020 al Parchetului de pe lângă Curtea de Apel Craiova.</w:t>
      </w:r>
    </w:p>
    <w:p w14:paraId="4C6DD321"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Împotriva încheierii nr. 3 din 29 octombrie 2020 şi încheierii din data de 21 iulie 2020 pronunțate de Curtea de Apel Craiova, Secția penală și pentru cauze cu minori, a formulat contestaţie Parchetul de pe lângă Curtea de Apel Craiova.</w:t>
      </w:r>
    </w:p>
    <w:p w14:paraId="2C496A36"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Analizând contestaţia formulată de Parchetul de pe lângă Curtea de Apel Craiova, în limitele prevăzute de procedura de cameră preliminară și ale contestației formulate, Înalta Curte de Casaţie şi Justiţie, completul de 2 judecători de cameră preliminară reţine, în principal, următoarele:</w:t>
      </w:r>
    </w:p>
    <w:p w14:paraId="177C6F90"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Obiectul procedurii de cameră preliminară este descris explicit în cuprinsul dispoziţiilor art. 342 C. proc. pen. care statuează neechivoc asupra prerogativelor judecătorului de a verifica, după trimiterea în judecată, chestiuni punctuale, enumerate limitativ: competenţa instanţei sesizate prin rechizitoriu, legalitatea sesizării instanţei, legalitatea administrării probelor şi legalitatea efectuării actelor de către organele de urmărire penală.</w:t>
      </w:r>
    </w:p>
    <w:p w14:paraId="1BD0A7E7"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Din perspectiva legalităţii sesizării instanţei trebuie analizate şi considerentele Deciziei nr. 302/2017 a Curţii Constituţionale, prin care s-a arătat că: „eliminarea din categoria nulităților absolute a nerespectării dispozițiilor referitoare la competența materială și după calitatea persoanei a organului de urmărire penală permite aplicarea în procesul penal a unui criteriu subiectiv de apreciere din partea organului de urmărire penală. Astfel, prin nereglementarea unei sancțiuni adecvate în cazul nerespectării de către organul de urmărire penală a competenței sale materiale și după calitatea persoanei, legiuitorul a creat premisa aplicării aleatorii a normelor de competență pe care le-a adoptat.”</w:t>
      </w:r>
    </w:p>
    <w:p w14:paraId="2EC6126D"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cauză, se constată că parchetul a criticat încheierile contestate, pronunțate de judecătorul de cameră preliminară de la Curtea de Apel Craiova, sub aspectele pentru care s-a şi dispus restituirea cauzei la parchet, referitoare la competența de a efectua urmărirea penală în raport cu fapta prezentată la punctul 1 din rechizitoriul nr. X. întocmit la data de 31 ianuarie 2020 de Parchetul de pe lângă Curtea de Apel Craiova şi claritatea descrierii acestei fapte încadrate juridic în infracţiunea de abuz în serviciu în formă continuată, prevăzută în art. 297 alin. (1) C. pen., cu aplicarea art. 35 alin. (1) C. pen., în legătură cu persoanele vătămate, raportat la presupusele actele ilegale de executare îndeplinite de executorul A. în cadrul unor dosare de executare.</w:t>
      </w:r>
    </w:p>
    <w:p w14:paraId="7FBD9A56"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esenţă, potrivit acuzării, infracţiunea de abuz în serviciu în formă continuată, prevăzută în art. 297 alin. (1) C. pen., cu aplicarea art. 35 alin. (1) C. pen., care interesează prezenta acuzaţie, constă în fapta inculpatului A. care, în perioada mai 2017 - septembrie 2018, în calitate de executor judecătoresc, ar fi întocmit în cadrul unor dosare de executare acte nelegale de executare, cu nerespectarea prevederilor art. 656, 704, 754-756, 826, 836-857 C. proc. civ., art. 53, 54 din Legea nr. 188/2000 privind executorii judecătorești, cauzând în acest fel, potrivit acuzării, un prejudiciu de 2.627.175 lei persoanelor vătămate.</w:t>
      </w:r>
    </w:p>
    <w:p w14:paraId="27D6E508"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Presupusul prejudiciu de 2.627.175 lei, exprimat în euro, la cursul valutar din septembrie 2018, este mai mare de 200.000 euro, dar mai mic de 1.000.000 euro.</w:t>
      </w:r>
    </w:p>
    <w:p w14:paraId="7A1D2D42"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Înalta Curte de Casaţie şi Justiţie, completul de 2 judecători de cameră preliminară notează că, potrivit art. 13</w:t>
      </w:r>
      <w:r w:rsidRPr="00250C7F">
        <w:rPr>
          <w:rFonts w:ascii="Times New Roman" w:eastAsia="Calibri" w:hAnsi="Times New Roman" w:cs="Times New Roman"/>
          <w:sz w:val="24"/>
          <w:szCs w:val="24"/>
          <w:vertAlign w:val="superscript"/>
        </w:rPr>
        <w:t>2</w:t>
      </w:r>
      <w:r w:rsidRPr="00250C7F">
        <w:rPr>
          <w:rFonts w:ascii="Times New Roman" w:eastAsia="Calibri" w:hAnsi="Times New Roman" w:cs="Times New Roman"/>
          <w:sz w:val="24"/>
          <w:szCs w:val="24"/>
        </w:rPr>
        <w:t> din Legea nr. 78/2000 pentru prevenirea, descoperirea și sancționarea faptelor de corupție, „în cazul infracțiunilor de abuz în serviciu sau de uzurpare a funcției, dacă funcționarul public a obținut pentru sine ori pentru altul un folos necuvenit, limitele speciale ale pedepsei se majorează cu o treime.”</w:t>
      </w:r>
    </w:p>
    <w:p w14:paraId="4C5E3683"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Potrivit art. 13 alin. (1) din O. U. G. nr. 43/2002, „sunt de competența Direcției Naționale Anticorupție infracțiunile prevăzute în Legea nr. 78/2000, cu modificările și completările ulterioare, săvârșite în una dintre următoarele condiții:</w:t>
      </w:r>
    </w:p>
    <w:p w14:paraId="555E0B0B"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dacă, indiferent de calitatea persoanelor care le-au comis, au cauzat o pagubă materială mai mare decât echivalentul în lei a 200.000 euro ori dacă valoarea sumei sau a bunului care formează obiectul infracțiunii de corupție este mai mare decât echivalentul în lei a 10.000 euro;”</w:t>
      </w:r>
    </w:p>
    <w:p w14:paraId="13DA7B77"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„(3) Sunt de competența Direcției Naționale Anticorupție infracțiunile prevăzute la art. 246, 297 și 300 C. pen., dacă s-a cauzat o pagubă mai mare decât echivalentul în lei a 1.000.000 euro.”</w:t>
      </w:r>
    </w:p>
    <w:p w14:paraId="3FBF4F3C"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Din interpretarea gramaticală şi sistematică a dispozițiilor art. 13 alin. (3) din O. U. G. nr. 43/2002, rezultă că pentru a fi competentă Direcţia Naţională Anticorupţie să efectueze urmărirea penală, pentru infracţiunea de abuz în serviciu prevăzută în art. 297 C. pen., chiar şi în formă continuată, este obligatoriu ca paguba cauzată prin această infracţiune să fie mare decât echivalentul în lei a 1.000.000 euro.</w:t>
      </w:r>
    </w:p>
    <w:p w14:paraId="294F83D2"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prezenta cauză, inculpatul A. a fost trimis în judecată pentru abuz în serviciu încadrat juridic în dispoziţiile prevăzute exclusiv de Codul penal, în art. 297, dar prejudiciul presupus cauzat nu depăşeşte echivalentul în lei a 1.000.000 euro.</w:t>
      </w:r>
    </w:p>
    <w:p w14:paraId="6A80CCA7"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această situaţie, nu devin incidente prevederile art. 13 alin. (3) din O. U. G. nr. 43/2002, iar Direcţia Naţională Anticorupţie nu era competentă să efectueze urmărirea penală în cauză, în raport de criteriul valoric enunţat în textul legal menţionat şi încadrarea juridică stabilită de organul de urmărire penală.</w:t>
      </w:r>
    </w:p>
    <w:p w14:paraId="6A3819CD"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raport de dispoziţiile art. 13 alin. (1) lit. a) din O. U. G. nr. 43/2002, se precizează că, faţă de ipoteza textului legal care face trimitere la infracțiunile prevăzute în Legea nr. 78/2000, prin care trebuie să se fi cauzat o pagubă materială mai mare decât echivalentul în lei a 200.000 euro, se înţelege că acest cuantum al pagubei nu poate să rezulte decât din comiterea uneia dintre infracţiunile prevăzute în Legea nr. 78/2000, pentru a fi atrasă competenţa Direcţiei Naţionale Anticorupţie în efectuarea urmăririi penale.</w:t>
      </w:r>
    </w:p>
    <w:p w14:paraId="0542C656"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Altfel spus, este o condiţie </w:t>
      </w:r>
      <w:r w:rsidRPr="00250C7F">
        <w:rPr>
          <w:rFonts w:ascii="Times New Roman" w:eastAsia="Calibri" w:hAnsi="Times New Roman" w:cs="Times New Roman"/>
          <w:i/>
          <w:iCs/>
          <w:sz w:val="24"/>
          <w:szCs w:val="24"/>
        </w:rPr>
        <w:t>sine qua non</w:t>
      </w:r>
      <w:r w:rsidRPr="00250C7F">
        <w:rPr>
          <w:rFonts w:ascii="Times New Roman" w:eastAsia="Calibri" w:hAnsi="Times New Roman" w:cs="Times New Roman"/>
          <w:sz w:val="24"/>
          <w:szCs w:val="24"/>
        </w:rPr>
        <w:t> pentru stabilirea competenţei de urmărire penală în favoarea Direcţiei Naţionale Anticorupţie ca infracţiunea, prin care s-a produs prejudiciul mai mare de 200.000 euro, să fie o infracţiune de corupţie/asimilată corupţiei dintre cele reglementate de Legea nr. 78/2000.</w:t>
      </w:r>
    </w:p>
    <w:p w14:paraId="6DBF8431"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 în cauză, fapta de abuz în serviciu, cu presupus prejudiciu mai mare de 200.000 euro, a fost încadrată juridic în dispoziţiile art. 297 alin. (1) C. pen., cu aplicarea art. 35 alin. (1) C. pen., fără ca procurorul să reţină dispoziţiile formei agravate prevăzute în art. 13</w:t>
      </w:r>
      <w:r w:rsidRPr="00250C7F">
        <w:rPr>
          <w:rFonts w:ascii="Times New Roman" w:eastAsia="Calibri" w:hAnsi="Times New Roman" w:cs="Times New Roman"/>
          <w:sz w:val="24"/>
          <w:szCs w:val="24"/>
          <w:vertAlign w:val="superscript"/>
        </w:rPr>
        <w:t>2</w:t>
      </w:r>
      <w:r w:rsidRPr="00250C7F">
        <w:rPr>
          <w:rFonts w:ascii="Times New Roman" w:eastAsia="Calibri" w:hAnsi="Times New Roman" w:cs="Times New Roman"/>
          <w:sz w:val="24"/>
          <w:szCs w:val="24"/>
        </w:rPr>
        <w:t> din Legea nr. 78/2000, în conformitate cu care funcționarul public care a comis abuzul în serviciu obține pentru sine ori pentru altul un folos necuvenit.</w:t>
      </w:r>
    </w:p>
    <w:p w14:paraId="673F396B"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De altfel, procurorul a apreciat că nu poate fi dovedită prin probele administrate în cauză decât încadrarea juridică dată prin actul de sesizare, motiv pentru care nu s-a susținut de către acuzare obținerea de către inculpat pentru sine sau pentru altul a unui folos necuvenit.</w:t>
      </w:r>
    </w:p>
    <w:p w14:paraId="7F8AB42E"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Reprezentantul Ministerului Public a arătat, cu ocazia comunicării menţinerii dispoziţiei de trimitere în judecată a inculpatului A., că nu se impută obținerea unui folos necuvenit de către inculpat pentru sine sau pentru altul.</w:t>
      </w:r>
    </w:p>
    <w:p w14:paraId="072F41A6"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Încadrarea juridică, pentru faptele în discuţie, a fost precizată </w:t>
      </w:r>
      <w:r w:rsidRPr="00250C7F">
        <w:rPr>
          <w:rFonts w:ascii="Times New Roman" w:eastAsia="Calibri" w:hAnsi="Times New Roman" w:cs="Times New Roman"/>
          <w:i/>
          <w:iCs/>
          <w:sz w:val="24"/>
          <w:szCs w:val="24"/>
        </w:rPr>
        <w:t>expressis verbis</w:t>
      </w:r>
      <w:r w:rsidRPr="00250C7F">
        <w:rPr>
          <w:rFonts w:ascii="Times New Roman" w:eastAsia="Calibri" w:hAnsi="Times New Roman" w:cs="Times New Roman"/>
          <w:sz w:val="24"/>
          <w:szCs w:val="24"/>
        </w:rPr>
        <w:t> de procuror ca fiind cea prevăzută în art. 297 alin. (1) C. pen., cu aplicarea art. 35 alin. (1) C. pen., atât prin rechizitoriu, cât şi prin răspunsul din data de 28 iulie 2020 comunicat în temeiul art. 345 alin. (3) C. proc. pen., în acesta din urmă fiind precizat că probele administrate nu dovedesc obținerea unui folos necuvenit pentru inculpat sau pentru altul.</w:t>
      </w:r>
    </w:p>
    <w:p w14:paraId="3AF63760"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consecinţă, faţă de încadrarea juridică dată faptei descrise la punctul 1 în rechizitoriul nr. X., în infracţiunea de abuz în serviciu prevăzută în art. 297 alin. (1) C. pen., cu aplicarea art. 35 alin. (1) C. pen., prin care se presupune cauzarea unui prejudiciu mai mic de 1.000.000 euro, competenţa de a efectua urmărirea penală în cauză revenea Parchetului de pe lângă Curtea de Apel Craiova, ţinând seama şi de calitatea personală a inculpatului, de executor judecătoresc.</w:t>
      </w:r>
    </w:p>
    <w:p w14:paraId="12B72EF3"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Deopotrivă, se consideră că, urmare a răspunsului din data de 28 iulie 2020, comunicat în temeiul art. 345 alin. (3) C. proc. pen., nu există nicio neclaritate în descrierea acuzaţiilor, fiind precizat, în esenţă, de către procuror că nu a putut fi dovedit că abuzul în serviciu a fost comis în scopul obţinerii de către inculpat a unui folos pentru sine sau pentru altul (motiv pentru care în încadrarea juridică nici nu se regăsesc dispoziţiile art. 13</w:t>
      </w:r>
      <w:r w:rsidRPr="00250C7F">
        <w:rPr>
          <w:rFonts w:ascii="Times New Roman" w:eastAsia="Calibri" w:hAnsi="Times New Roman" w:cs="Times New Roman"/>
          <w:sz w:val="24"/>
          <w:szCs w:val="24"/>
          <w:vertAlign w:val="superscript"/>
        </w:rPr>
        <w:t>2</w:t>
      </w:r>
      <w:r w:rsidRPr="00250C7F">
        <w:rPr>
          <w:rFonts w:ascii="Times New Roman" w:eastAsia="Calibri" w:hAnsi="Times New Roman" w:cs="Times New Roman"/>
          <w:sz w:val="24"/>
          <w:szCs w:val="24"/>
        </w:rPr>
        <w:t> din Legea nr. 78/2000).</w:t>
      </w:r>
    </w:p>
    <w:p w14:paraId="1890E849"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ceea ce priveşte legalitatea administrării probelor şi a efectuării actelor de către organele de urmărire penală, se constată că nu au fost formulate cereri sau excepţii de către inculpat şi nici nu au fost ridicate din oficiu în faţa judecătorului de cameră preliminară sesizat cu rechizitoriu.</w:t>
      </w:r>
    </w:p>
    <w:p w14:paraId="0A2C015A"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Având în vedere că, potrivit dispoziţiilor art. 347 alin. (4) C. proc. pen., în soluţionarea contestaţiei nu pot fi invocate sau ridicate din oficiu alte cereri sau excepţii decât cele invocate sau ridicate din oficiu în faţa judecătorului de cameră preliminară în procedura desfăşurată în faţa instanţei sesizate cu rechizitoriu, cu excepţia cazurilor de nulitate absolută, contestaţia parchetului este întemeiată pentru motivele anterior prezentate, urmând a fi admisă, cu consecinţa începerii judecăţii.</w:t>
      </w:r>
    </w:p>
    <w:p w14:paraId="553CA273"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Pentru considerentele astfel expuse, în baza art. 347 alin. (3) coroborat cu art. 346 alin. (2) C. proc. pen., Înalta Curte de Casaţie şi Justiţie, completul de 2 judecători de cameră preliminară, a admis contestaţia declarată de Parchetul de pe lângă Curtea de Apel Craiova împotriva încheierii nr. 3 din 29 octombrie 2020 şi încheierii din data de 21 iulie 2020 pronunțate de Curtea de Apel Craiova, Secția penală și pentru cauze cu minori.</w:t>
      </w:r>
    </w:p>
    <w:p w14:paraId="1230FDEE" w14:textId="77777777" w:rsidR="00875B1F" w:rsidRPr="00250C7F" w:rsidRDefault="00875B1F" w:rsidP="00D0694D">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desfiinţat încheierea din data de 21 iulie 2020 şi, în parte, încheierea nr. 3 din 29 octombrie 2020 pronunţate de Curtea de Apel Craiova, Secția penală și pentru cauze cu minori şi, rejudecând:</w:t>
      </w:r>
    </w:p>
    <w:p w14:paraId="0DEABDBE" w14:textId="23424E9E" w:rsidR="00DA7779" w:rsidRPr="00250C7F" w:rsidRDefault="00875B1F" w:rsidP="0090026C">
      <w:pPr>
        <w:tabs>
          <w:tab w:val="left" w:pos="-1276"/>
        </w:tabs>
        <w:spacing w:after="0" w:line="276" w:lineRule="auto"/>
        <w:ind w:right="-58" w:firstLine="709"/>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347 alin. (3) C. proc. pen., a constatat legalitatea sesizării instanţei cu rechizitoriul nr. X. din 31 ianuarie 2020 al Parchetului de pe lângă Curtea de Apel Craiova, legalitatea administrării probelor şi a efectuării actelor de urmărire penală şi a dispus începerea judecăţii în cauza penală privind pe inculpatul A.</w:t>
      </w:r>
    </w:p>
    <w:p w14:paraId="68651964" w14:textId="77777777" w:rsidR="003D5FDA" w:rsidRPr="00250C7F" w:rsidRDefault="003D5FDA" w:rsidP="00D0694D">
      <w:pPr>
        <w:spacing w:after="0" w:line="276" w:lineRule="auto"/>
        <w:jc w:val="both"/>
        <w:rPr>
          <w:rFonts w:ascii="Times New Roman" w:eastAsia="Calibri" w:hAnsi="Times New Roman" w:cs="Times New Roman"/>
          <w:sz w:val="24"/>
          <w:szCs w:val="24"/>
        </w:rPr>
      </w:pPr>
    </w:p>
    <w:p w14:paraId="56516031" w14:textId="0AE67570" w:rsidR="00DA7779" w:rsidRPr="00250C7F" w:rsidRDefault="00DA7779" w:rsidP="00875B1F">
      <w:pPr>
        <w:pStyle w:val="Heading3"/>
        <w:spacing w:line="276" w:lineRule="auto"/>
        <w:jc w:val="both"/>
        <w:rPr>
          <w:rFonts w:ascii="Times New Roman" w:eastAsia="Calibri" w:hAnsi="Times New Roman" w:cs="Times New Roman"/>
          <w:bCs/>
          <w:color w:val="auto"/>
        </w:rPr>
      </w:pPr>
      <w:bookmarkStart w:id="53" w:name="_Toc84584832"/>
      <w:r w:rsidRPr="00250C7F">
        <w:rPr>
          <w:rFonts w:ascii="Times New Roman" w:eastAsia="Calibri" w:hAnsi="Times New Roman" w:cs="Times New Roman"/>
          <w:b/>
          <w:color w:val="auto"/>
        </w:rPr>
        <w:t xml:space="preserve">2. </w:t>
      </w:r>
      <w:r w:rsidR="00875B1F" w:rsidRPr="00250C7F">
        <w:rPr>
          <w:rFonts w:ascii="Times New Roman" w:eastAsia="Calibri" w:hAnsi="Times New Roman" w:cs="Times New Roman"/>
          <w:b/>
          <w:color w:val="auto"/>
        </w:rPr>
        <w:t>Cameră preliminară. Chestiuni prealabile. Reunirea cauzelor. Înregistrări privind propriile convorbiri sau comunicări</w:t>
      </w:r>
      <w:bookmarkEnd w:id="53"/>
    </w:p>
    <w:p w14:paraId="6DF25644" w14:textId="062B829C" w:rsidR="00DA7779" w:rsidRPr="00250C7F" w:rsidRDefault="00875B1F" w:rsidP="00891584">
      <w:pPr>
        <w:tabs>
          <w:tab w:val="left" w:pos="-1276"/>
        </w:tabs>
        <w:spacing w:after="0" w:line="276" w:lineRule="auto"/>
        <w:ind w:right="-58"/>
        <w:jc w:val="right"/>
        <w:rPr>
          <w:rFonts w:ascii="Times New Roman" w:eastAsia="Calibri" w:hAnsi="Times New Roman" w:cs="Times New Roman"/>
          <w:sz w:val="24"/>
          <w:szCs w:val="24"/>
        </w:rPr>
      </w:pPr>
      <w:r w:rsidRPr="00250C7F">
        <w:rPr>
          <w:rFonts w:ascii="Times New Roman" w:eastAsia="Calibri" w:hAnsi="Times New Roman" w:cs="Times New Roman"/>
          <w:sz w:val="24"/>
          <w:szCs w:val="24"/>
        </w:rPr>
        <w:t>C. proc. pen., art. 52, art. 43, art. 139, art. 143</w:t>
      </w:r>
    </w:p>
    <w:p w14:paraId="4E3E56C4" w14:textId="77777777" w:rsidR="00875B1F" w:rsidRPr="00250C7F" w:rsidRDefault="00875B1F" w:rsidP="00891584">
      <w:pPr>
        <w:tabs>
          <w:tab w:val="left" w:pos="-1276"/>
        </w:tabs>
        <w:spacing w:after="0" w:line="276" w:lineRule="auto"/>
        <w:ind w:right="-58"/>
        <w:jc w:val="right"/>
        <w:rPr>
          <w:rFonts w:ascii="Times New Roman" w:eastAsia="Calibri" w:hAnsi="Times New Roman" w:cs="Times New Roman"/>
          <w:sz w:val="24"/>
          <w:szCs w:val="24"/>
        </w:rPr>
      </w:pPr>
    </w:p>
    <w:p w14:paraId="230905C8" w14:textId="77777777" w:rsidR="00875B1F" w:rsidRPr="00250C7F" w:rsidRDefault="00DA7779" w:rsidP="00875B1F">
      <w:pPr>
        <w:tabs>
          <w:tab w:val="left" w:pos="-1276"/>
        </w:tabs>
        <w:spacing w:after="0" w:line="276" w:lineRule="auto"/>
        <w:ind w:right="-58"/>
        <w:jc w:val="both"/>
        <w:rPr>
          <w:rFonts w:ascii="Times New Roman" w:eastAsia="Calibri" w:hAnsi="Times New Roman" w:cs="Times New Roman"/>
          <w:i/>
          <w:sz w:val="24"/>
          <w:szCs w:val="24"/>
        </w:rPr>
      </w:pPr>
      <w:r w:rsidRPr="00250C7F">
        <w:rPr>
          <w:rFonts w:ascii="Times New Roman" w:eastAsia="Calibri" w:hAnsi="Times New Roman" w:cs="Times New Roman"/>
          <w:sz w:val="24"/>
          <w:szCs w:val="24"/>
        </w:rPr>
        <w:lastRenderedPageBreak/>
        <w:tab/>
      </w:r>
      <w:r w:rsidR="00875B1F" w:rsidRPr="00250C7F">
        <w:rPr>
          <w:rFonts w:ascii="Times New Roman" w:eastAsia="Calibri" w:hAnsi="Times New Roman" w:cs="Times New Roman"/>
          <w:i/>
          <w:sz w:val="24"/>
          <w:szCs w:val="24"/>
        </w:rPr>
        <w:t>1. Chestiunile prealabile, în accepţiunea dispoziţiilor art. 52 C. proc. pen., constituie chestiuni sau probleme de natură extrapenală de a căror soluţionare depinde rezolvarea fondului cauzei penale, în sensul rezolvării acţiunii penale prin pronunţarea uneia dintre soluţiile prevăzute în art. 396 C. proc. pen. Excepţia de nelegalitate a deciziilor preşedintelui Consiliului Superior al Magistraturii privind numirea în funcţie de execuţie sau de conducere în cadrul unei secţii din Parchetul de pe lângă Înalta Curte de Casaţie şi Justiţie a procurorului care a efectuat urmărirea penală şi a emis rechizitoriul nu constituie o chestiune prealabilă, în accepţiunea dispoziţiilor art. 52 C. proc. pen., întrucât rezolvarea fondului cauzei penale nu depinde de legalitatea acestor acte administrative cu caracter individual.</w:t>
      </w:r>
    </w:p>
    <w:p w14:paraId="2C2F8407" w14:textId="3E2BF483" w:rsidR="00875B1F" w:rsidRPr="00250C7F" w:rsidRDefault="00875B1F" w:rsidP="00875B1F">
      <w:pPr>
        <w:tabs>
          <w:tab w:val="left" w:pos="-1276"/>
        </w:tabs>
        <w:spacing w:after="0" w:line="276" w:lineRule="auto"/>
        <w:ind w:right="-58"/>
        <w:jc w:val="both"/>
        <w:rPr>
          <w:rFonts w:ascii="Times New Roman" w:eastAsia="Calibri" w:hAnsi="Times New Roman" w:cs="Times New Roman"/>
          <w:i/>
          <w:sz w:val="24"/>
          <w:szCs w:val="24"/>
        </w:rPr>
      </w:pPr>
      <w:r w:rsidRPr="00250C7F">
        <w:rPr>
          <w:rFonts w:ascii="Times New Roman" w:eastAsia="Calibri" w:hAnsi="Times New Roman" w:cs="Times New Roman"/>
          <w:i/>
          <w:sz w:val="24"/>
          <w:szCs w:val="24"/>
        </w:rPr>
        <w:tab/>
        <w:t xml:space="preserve">2. În cursul urmăririi penale, reunirea cauzelor este obligatorie în cazurile de indivizibilitate prevăzute în art. 43 alin. (1) C. proc. pen. şi facultativă în cazurile de conexitate reglementate în art. 43 alin. (2) C. proc. pen. În consecinţă, în procedura camerei preliminare, respingerea cererii de reunire a cauzelor dispusă de procuror în cursul urmăririi penale, în cazurile de conexitate prevăzute în art. 43 alin. (2) C. proc. pen. în care reunirea are caracter facultativ, nu este supusă controlului judecătorului de cameră preliminară.  </w:t>
      </w:r>
    </w:p>
    <w:p w14:paraId="04E46F82" w14:textId="37500FEB" w:rsidR="00DA7779" w:rsidRPr="00250C7F" w:rsidRDefault="00875B1F" w:rsidP="00875B1F">
      <w:pPr>
        <w:tabs>
          <w:tab w:val="left" w:pos="-1276"/>
        </w:tabs>
        <w:spacing w:after="0" w:line="276" w:lineRule="auto"/>
        <w:ind w:right="-58"/>
        <w:jc w:val="both"/>
        <w:rPr>
          <w:rFonts w:ascii="Times New Roman" w:eastAsia="Calibri" w:hAnsi="Times New Roman" w:cs="Times New Roman"/>
          <w:sz w:val="24"/>
          <w:szCs w:val="24"/>
        </w:rPr>
      </w:pPr>
      <w:r w:rsidRPr="00250C7F">
        <w:rPr>
          <w:rFonts w:ascii="Times New Roman" w:eastAsia="Calibri" w:hAnsi="Times New Roman" w:cs="Times New Roman"/>
          <w:i/>
          <w:sz w:val="24"/>
          <w:szCs w:val="24"/>
        </w:rPr>
        <w:tab/>
        <w:t xml:space="preserve">3. În cazul înregistrărilor efectuate de părţi sau de alte persoane privind propriile convorbiri sau comunicări cu terţii, care, în baza art. 139 alin. (3) C. proc. pen., constituie mijloace de probă, nu sunt incidente dispoziţiile art. 143 C. proc. pen. referitoare la consemnarea, transcrierea şi certificarea pentru autenticitate de către procuror, aceste dispoziţii fiind aplicabile numai în cazul supravegherii tehnice autorizate şi realizate de organele judiciare.  </w:t>
      </w:r>
    </w:p>
    <w:p w14:paraId="4A968AFE" w14:textId="77777777" w:rsidR="00DA7779" w:rsidRPr="00250C7F" w:rsidRDefault="00DA7779" w:rsidP="00891584">
      <w:pPr>
        <w:tabs>
          <w:tab w:val="left" w:pos="-1276"/>
        </w:tabs>
        <w:spacing w:after="0" w:line="276" w:lineRule="auto"/>
        <w:ind w:right="-58"/>
        <w:jc w:val="right"/>
        <w:rPr>
          <w:rFonts w:ascii="Times New Roman" w:eastAsia="Calibri" w:hAnsi="Times New Roman" w:cs="Times New Roman"/>
          <w:sz w:val="24"/>
          <w:szCs w:val="24"/>
        </w:rPr>
      </w:pPr>
    </w:p>
    <w:p w14:paraId="372991A5" w14:textId="7166EC0F" w:rsidR="00DA7779" w:rsidRPr="00250C7F" w:rsidRDefault="00DA7779" w:rsidP="00BC294B">
      <w:pPr>
        <w:tabs>
          <w:tab w:val="left" w:pos="-1276"/>
        </w:tabs>
        <w:spacing w:after="0" w:line="276" w:lineRule="auto"/>
        <w:ind w:right="-58"/>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I.C.C.J., Secţia penală, </w:t>
      </w:r>
      <w:r w:rsidR="00875B1F" w:rsidRPr="00250C7F">
        <w:rPr>
          <w:rFonts w:ascii="Times New Roman" w:eastAsia="Calibri" w:hAnsi="Times New Roman" w:cs="Times New Roman"/>
          <w:sz w:val="24"/>
          <w:szCs w:val="24"/>
        </w:rPr>
        <w:t>completul de 2 judecători de cameră preliminară, încheierea nr. 31/C din 4 decembrie 2020</w:t>
      </w:r>
    </w:p>
    <w:p w14:paraId="147AE421" w14:textId="77777777" w:rsidR="00875B1F" w:rsidRPr="00250C7F" w:rsidRDefault="00875B1F" w:rsidP="00875B1F">
      <w:pPr>
        <w:tabs>
          <w:tab w:val="left" w:pos="-1276"/>
        </w:tabs>
        <w:spacing w:after="0" w:line="276" w:lineRule="auto"/>
        <w:ind w:right="-58"/>
        <w:rPr>
          <w:rFonts w:ascii="Times New Roman" w:eastAsia="Calibri" w:hAnsi="Times New Roman" w:cs="Times New Roman"/>
          <w:sz w:val="24"/>
          <w:szCs w:val="24"/>
        </w:rPr>
      </w:pPr>
    </w:p>
    <w:p w14:paraId="6BAD89BD"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încheierea nr. 114 din 2 martie 2020, pronunţată de Înalta Curte de Casaţie şi Justiţie, Secţia penală au fost respinse, ca nefondate, cererile şi excepţiile invocate de inculpaţii A. şi B., s-a constatat legalitatea sesizării Înaltei Curţi de Casaţie şi Justiţie cu rechizitoriul nr. X. din 12 iulie 2019 al Parchetului de pe lângă Înalta Curte de Casaţie şi Justiţie - Secţia pentru investigarea infracţiunilor din justiţie, privind pe inculpaţii A. şi B., precum şi legalitatea administrării probelor şi a efectuării actelor de urmărire penală și s-a dispus începerea judecăţii în cauza privind pe inculpaţii A. şi B.</w:t>
      </w:r>
    </w:p>
    <w:p w14:paraId="7B89F684"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Împotriva încheierii nr. 114 din 2 martie 2020, pronunţată de Înalta Curte de Casaţie şi Justiţie, Secţia penală au formulat contestație inculpaţii A. şi B.</w:t>
      </w:r>
    </w:p>
    <w:p w14:paraId="76C324A7"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Examinând contestațiile formulate prin prisma motivelor invocate și a actelor și lucrărilor din dosarul cauzei, Înalta Curte de Casaţie şi Justiţie, completul de 2 judecători de cameră preliminară reține, între altele, următoarele:</w:t>
      </w:r>
    </w:p>
    <w:p w14:paraId="376220DE"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Sub un prim aspect, Înalta Curte de Casaţie şi Justiţie, completul de 2 judecători de cameră preliminară urmează să analizeze criticile formulate de contestatorul inculpat A. referitoare la legalitatea Deciziilor Președintelui Consiliului Superior al Magistraturii nr. Y. și nr. Z. Criticile au fost invocate direct în contestație de către contestator prin intermediul excepției de nelegalitate prevăzută în art. 4 din Legea nr. 554/2004, în cadrul procesual determinat de dispozițiile art. 52 C. proc. pen. privind chestiunile prealabile.</w:t>
      </w:r>
    </w:p>
    <w:p w14:paraId="4A93A469"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Referitor la cadrul procesual în care au fost invocate criticile menționate, Înalta Curte de Casaţie şi Justiţie, completul de 2 judecători de cameră preliminară reține că, potrivit art. 52 C. </w:t>
      </w:r>
      <w:r w:rsidRPr="00250C7F">
        <w:rPr>
          <w:rFonts w:ascii="Times New Roman" w:eastAsia="Calibri" w:hAnsi="Times New Roman" w:cs="Times New Roman"/>
          <w:sz w:val="24"/>
          <w:szCs w:val="24"/>
        </w:rPr>
        <w:lastRenderedPageBreak/>
        <w:t>proc. pen., instanța penală este competentă să judece orice chestiune prealabilă soluționării cauzei, chiar dacă prin natura ei acea chestiune este de competența altei instanțe, cu excepția situațiilor în care competența de soluționare nu aparține organelor judiciare.</w:t>
      </w:r>
    </w:p>
    <w:p w14:paraId="1D174017"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raport cu textul legal evocat, se constată că prin chestiuni prealabile în sensul art. 52 C. proc. pen. trebuie să se înțeleagă chestiuni/probleme de natură extrapenală, de a căror rezolvare depinde rezolvarea fondului cauzei penale. Fiind prevăzută ca o veritabilă excepție de la regula de competență materială aplicabilă chestiunii prealabile și operând, astfel, o prorogare legală de competență a instanței penale de a judeca în altă materie, apare ca fiind obligatorie constatarea unei legături de dependență între acea chestiune și rezolvarea fondului cauzei. În caz contrar, s-ar ajunge ca pe calea unei proceduri derogatorii, de excepție, să poată fi ocolite procedurile și regulile de competență prevăzute de lege pentru rezolvarea unor posibile litigii și să fie temporizată excesiv soluționarea unor procese penale a căror rezolvare nu depinde în mod esențial de chestiunea invocată.</w:t>
      </w:r>
    </w:p>
    <w:p w14:paraId="20027412"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Condiția legăturii dintre chestiunea prealabilă care se cere a fi soluționată de instanța penală și rezolvarea fondului cauzei (penale), în cazul particular al invocării nelegalității unor acte administrative cu caracter individual, rezultă de altfel în mod explicit din conținutul art. 4 din Legea nr. 554/2004, potrivit căruia legalitatea unui act administrativ cu caracter individual, indiferent de data emiterii acestuia, poate fi cercetată oricând în cadrul unui proces, pe cale de excepție, din oficiu sau la cererea părții interesate. Instanța învestită cu fondul litigiului și în fața căreia a fost invocată excepția de nelegalitate, constatând că de actul administrativ individual depinde soluționarea litigiului pe fond, este competentă să se pronunțe asupra excepției, fie printr-o încheiere interlocutorie, fie prin hotărârea pe care o va pronunța în cauză.</w:t>
      </w:r>
    </w:p>
    <w:p w14:paraId="192B957B"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Sintagma „rezolvarea fondului cauzei penale” sau „soluționarea litigiului pe fond în materie penală” a fost explicată în numeroase cauze din jurisprudența Înaltei Curți de Casație și Justiție și a Curții Constituționale, statuându-se că aceasta înseamnă rezolvarea raportului juridic penal de conflict, respectiv soluționarea acțiunii penale prin pronunțarea uneia dintre soluțiile prevăzute în art. 396 C. proc. pen. Totodată, în cazul particular al excepției de nelegalitate reglementată în art. 4 din Legea nr. 554/2004, în raport cu conținutul legal al textului evocat, se impune constatarea că pentru a putea fi examinată legalitatea unui act administrativ individual este necesar ca de acesta să depindă soluționarea litigiului pe fond, în cauzele penale aceasta semnificând, așa cum s-a arătat anterior, hotărârea pronunțată asupra învinuirii aduse inculpatului și pronunțarea uneia dintre soluțiile prevăzute în art. 396 C. proc. pen.</w:t>
      </w:r>
    </w:p>
    <w:p w14:paraId="38125957"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consecință, o chestiune prealabilă în sensul art. 52 C. proc. pen. ar putea fi invocată numai în cazul în care problema ce se cere a fi soluționată de instanța penală prin prorogarea competenței acesteia în altă materie condiționează în mod necesar rezolvarea fondului cauzei penale, respectiv hotărârea asupra învinuirii aduse inculpatului conform art. 396 alin. (1) C. proc. pen. Concluzia expusă, care rezultă din interpretarea art. 52 C. proc. pen. coroborat cu art. 4 din Legea nr. 554/2004, nu este condiționată de etapele procesuale pe care le parcurge cauza, respectiv cameră preliminară, fond sau apel, întrucât nu se poate realiza o disociere a acestor faze ale procesului penal din perspectiva semnificației sintagmei „rezolvarea fondului cauzei penale.”</w:t>
      </w:r>
    </w:p>
    <w:p w14:paraId="32FA2749"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cauza de față, Înalta Curte de Casaţie şi Justiţie, completul de 2 judecători de cameră preliminară constată că prin excepția invocată de contestatorul inculpat A. s-a contestat legalitatea deciziilor președintelui Consiliului Superior al Magistraturii prin care a fost numit în funcția de execuție, respectiv de conducere în cadrul Secţiei pentru investigarea infracţiunilor din justiţie </w:t>
      </w:r>
      <w:r w:rsidRPr="00250C7F">
        <w:rPr>
          <w:rFonts w:ascii="Times New Roman" w:eastAsia="Calibri" w:hAnsi="Times New Roman" w:cs="Times New Roman"/>
          <w:sz w:val="24"/>
          <w:szCs w:val="24"/>
        </w:rPr>
        <w:lastRenderedPageBreak/>
        <w:t>procurorul care a efectuat urmărirea penală și a întocmit rechizitoriul prin care s-a dispus trimiterea în judecată a inculpaților A. și B. Deși, aparent, excepția invocată respectă condițiile prevăzute în art. 4 din Legea nr. 554/2004 a contenciosului administrativ, fiind vizate acte administrative cu caracter individual a căror legalitate este contestată în cadrul unui litigiu aflat pe rolul unei instanțe de judecată, Înalta Curte de Casaţie şi Justiţie, completul de 2 judecători de cameră preliminară reține că nu este îndeplinită condiția ca de legalitatea actului administrativ să depindă soluționarea fondului cauzei penale, prevăzută de textul legal evocat și care se desprinde și din interpretarea art. 52 C. proc. pen.</w:t>
      </w:r>
    </w:p>
    <w:p w14:paraId="41C1FCB4"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Astfel, legalitatea deciziilor președintelui Consiliului Superior al Magistraturii prin care a fost numit în funcția de execuție/conducere procurorul care a efectuat urmărirea penală și a întocmit rechizitoriul nu condiționează în mod esențial hotărârea pe care instanța de judecată ar urma să o pronunțe asupra învinuirii prin una dintre soluțiile prevăzute în art. 396 C. proc. pen., respectiv de aceste acte administrative individuale nu depinde soluționarea pe fond a litigiului. Niciunul dintre actele menționate nu au legătură și nu se circumscriu în vreo formă condițiilor de existență a faptelor, de întrunire a elementelor de tipicitate sau de atragere a răspunderii penale a persoanelor acuzate, neinfluențând soluționarea pe fond a cauzei penale.</w:t>
      </w:r>
    </w:p>
    <w:p w14:paraId="4A084F6B"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consecință, constatând că nu sunt îndeplinite condițiile prevăzute în art. 52 C. proc. pen. raportat la art. 4 din Legea nr. 554/2004 a contenciosului administrativ, respectiv de actele administrative atacate nu depinde rezolvarea pe fond a cauzei penale, Înalta Curte de Casaţie şi Justiţie, completul de 2 judecători de cameră preliminară urmează să respingă excepția de nelegalitate a Deciziilor Președintelui Consiliului Superior al Magistraturii nr. Y. și nr. Z., invocată de contestatorul inculpat A.</w:t>
      </w:r>
    </w:p>
    <w:p w14:paraId="3BDBA765"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Referitor la motivele de contestație invocate de către contestatorii inculpați A. și B., Înalta Curte Înalta Curte de Casaţie şi Justiţie, completul de 2 judecători de cameră preliminară reține, între altele, următoarele:</w:t>
      </w:r>
    </w:p>
    <w:p w14:paraId="74B19A44"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i/>
          <w:iCs/>
          <w:sz w:val="24"/>
          <w:szCs w:val="24"/>
        </w:rPr>
        <w:t>1. Nulitatea absolută a rechizitoriului, ca efect al necompetenței materiale a organului de urmărire penală</w:t>
      </w:r>
    </w:p>
    <w:p w14:paraId="5C7814F8"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esență, contestatorul inculpat A. a susținut că, în raport cu data sesizării organelor de urmărire penală, competența materială revenea Direcției Naționale Anticorupție, sesizată de contestator la data de 10 noiembrie 2017 cu faptele comise de C. și alte persoane, dosarul fiind înregistrat sub nr. D., anterior constituirii dosarului nr. E. pe rolul Secției de urmărire penală și criminalistică.</w:t>
      </w:r>
    </w:p>
    <w:p w14:paraId="05C94816"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Fără a relua argumentele expuse pe larg de judecătorul de cameră preliminară prin încheierea atacată și pe care completul de 2 judecători și le însușește în întregime, se reține că susținerile contestatorului inculpat în sensul necompetenței materiale a organului de urmărire penală sunt, pe de o parte, lipsite de fundament faptic, iar pe de altă parte, lipsite de temeinicie. Astfel, pe de-o parte, completul de 2 judecători reține ca nefiind conformă realității împrejurarea că obiectul cercetărilor în dosarele menționate era identic, în realitate, în raport cu situația de fapt, fiind realizată o disociere între faptele pretins a fi fost comise de către C. și alte persoane apropiate acestuia și faptele pretins a fi fost săvârșite de către magistrații procurori implicați în cercetarea acelor fapte.</w:t>
      </w:r>
    </w:p>
    <w:p w14:paraId="15DF2D3E"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acord cu argumentele expuse prin încheierea atacată, completul de 2 judecători reține că susținerile contestatorului inculpat A. nu sunt întemeiate, legătura dintre cele două dosare, în lipsa unei identități de obiect al cercetărilor, fiind circumscrisă cazurilor de conexitate, iar nu de </w:t>
      </w:r>
      <w:r w:rsidRPr="00250C7F">
        <w:rPr>
          <w:rFonts w:ascii="Times New Roman" w:eastAsia="Calibri" w:hAnsi="Times New Roman" w:cs="Times New Roman"/>
          <w:sz w:val="24"/>
          <w:szCs w:val="24"/>
        </w:rPr>
        <w:lastRenderedPageBreak/>
        <w:t>indivizibilitate, astfel încât reunirea dosarelor avea caracter facultativ, conform art. 43 alin. (2) C. proc. pen. Susținerea contestatorului inculpat, în sensul că de vreme ce atât Direcţia Naţională Anticorupţie, cât și Secția de urmărire penală și criminalistică fac parte din structura aceleiași unități de parchet - Parchetul de pe lângă Înalta Curte de Casație și Justiție reunirea cauzelor era obligatorie, apare ca fiind lipsită de fundament legal, excedând cazurilor de conexitate și indivizibilitate prevăzute în art. 43 C. proc. pen. raportat la art. 63 C. proc. pen.</w:t>
      </w:r>
    </w:p>
    <w:p w14:paraId="2DD74E4F"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Având în vedere că nu a putut fi identificat un caz de reunire obligatorie a cauzelor la care face referire contestatorul inculpat și că procurorul, ca titular al acţiunii penale, are dreptul de a aprecia dacă este în interesul unei mai bune înfăptuiri a justiției și de a decide dacă urmărirea penală se efectuează în acelaşi timp pentru toate infracţiunile şi cu privire la toate persoanele, rezolvând în faza de urmărire penală incidentele legate de indivizibilitate şi conexitate, apare ca fiind corectă concluzia judecătorului de cameră preliminară în sensul că soluţia/dispoziţia de respingere a cererii de reunire a cauzelor dispusă de procuror în faza de urmărire penală nu este supusă controlului instanţei şi nici nu afectează regularitatea actului de sesizare, fiind vorba de o măsură procesuală care nu ţine de substanţa urmăririi penale şi nu produce efecte asupra fondului cauzei.</w:t>
      </w:r>
    </w:p>
    <w:p w14:paraId="37E3FBAD"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egală măsură, apare ca fiind lipsită de fundament critica formulată de contestatorul inculpat B. cu privire la nereunirea prezentei cauze la dosarului Secției pentru investigarea infracţiunilor din justiţie, având ca obiect plângerea penală depusă de acesta împotriva numiţilor C., F. şi G. sub aspectul săvârşirii mai multor infracţiuni în legătură cu acuzaţia formulată împotriva acestuia, în prezenta cauză penală. În acord cu argumentele expuse prin încheierea atacată, completul 2 doi judecători de cameră preliminară reține că, în absența unui caz de reunire obligatorie a cauzelor conform art. 43 alin. (1) C. proc. pen., refuzul de reunire a cauzelor în faza de urmărire penală nu este supus controlului instanţei şi nici nu afectează regularitatea actului de sesizare, fiind vorba de o măsură procesuală care nu ţine de substanţa urmăririi penale şi nu produce efecte asupra fondului cauzei.</w:t>
      </w:r>
    </w:p>
    <w:p w14:paraId="403AE08F"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i/>
          <w:iCs/>
          <w:sz w:val="24"/>
          <w:szCs w:val="24"/>
        </w:rPr>
        <w:t>2. Nelegalitatea obţinerii probelor constând în înregistrările audio-video depuse de C. și nulitatea acestora</w:t>
      </w:r>
    </w:p>
    <w:p w14:paraId="2DC59715"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Înalta Curte de Casaţie şi Justiţie, completul de 2 judecători de cameră preliminară reține că proba la care se face referire a fost administrată în cadrul procesual circumscris dispozițiilor art. 139 alin. (3) C. proc. pen., înregistrările audio-video sau mesajele tip sms/whatsApp fiind depuse la dosarul cauzei în faza de urmărire penală de către C., conform mențiunilor procesului-verbal din data de 11 aprilie 2018.</w:t>
      </w:r>
    </w:p>
    <w:p w14:paraId="1041BEE6"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ceea ce privește critica referitoare la lipsa certificării transcrierilor acestor înregistrări de către procuror în condițiile art. 143, art. 198 sau art. 199 C. proc. pen., Înalta Curte de Casaţie şi Justiţie, completul de 2 judecători de cameră preliminară constată că este neîntemeiată.</w:t>
      </w:r>
    </w:p>
    <w:p w14:paraId="45452EDC"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Procedura reglementată în dispozițiile art. 143 C. proc. pen. se circumscrie garanțiilor ce trebuie să însoțească orice măsură intruzivă în viața privată a unei persoane, ingerință realizată de către organele de stat, desigur cu respectarea tuturor condițiilor de autorizare și efectuare a unei măsuri de supraveghere secretă a unei persoane. De altfel, din conținutul art. 143 C. proc. pen. se desprinde în mod clar concluzia că este necesară consemnarea activităților de supraveghere tehnică autorizate în mod legal și certificată conformitatea datelor obținute în urma unor asemenea metode speciale de cercetare de către procuror.</w:t>
      </w:r>
    </w:p>
    <w:p w14:paraId="0A237555"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lastRenderedPageBreak/>
        <w:t>O dispoziție similară nu se regăsește însă și în cazul altor înregistrări care fie privesc propriile convorbiri ale unei persoane, fie alte înregistrări care nu sunt interzise de lege, probe care sunt administrate în condițiile art. 139 alin. (3) C. proc. pen. În aceste cazuri, înregistrările și suportul pe care sunt fixate constituie proba și, respectiv mijlocul de probă care poate fi supus expertizării în cazul în care este contestată autenticitatea sau veridicitatea aspectelor conținute. În consecință, supusă sau nu expertizării pentru stabilirea aspectelor menționate, proba urmează să fie examinată în mod direct de către organul de urmărire penală sau de instanța de judecată, urmând ca fiabilitatea ei să fie apreciată în raport cu ansamblul probator administrat în cauză. Nefiind efectuată de agenți ai statului în cadrul unui procedeu probatoriu autorizat în condițiile legii, nu există pentru procuror obligația transcrierii și certificării pentru conformitate a datelor rezultate din înregistrarea audio (în cazul celor video nici nu ar fi posibilă redarea în scris), iar eventuala transcriere a convorbirilor de către partea care le-a depus nu va avea o altă valoare probatorie decât cea a unui înscris depus de către aceasta, subzistând obligația organului judiciar de a examina direct proba în cauză.</w:t>
      </w:r>
    </w:p>
    <w:p w14:paraId="0D58F554"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raport cu aspectele expuse, Înalta Curte de Casaţie şi Justiţie, completul de 2 judecători de cameră preliminară constată că lipsa transcrierii înregistrărilor audio de către procuror invocată de către contestatorul inculpat A. nu constituie un motiv de nelegalitate a probei și nu afectează transcrierea depusă de chiar partea care le-a efectuat, neexistând motive pentru a se dispune excluderea acestora în condițiile art. 102 alin. (2) C. proc. pen.</w:t>
      </w:r>
    </w:p>
    <w:p w14:paraId="28C85AE1"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consecinţă, Înalta Curte de Casaţie şi Justiţie, completul de 2 judecători de cameră preliminară a respins excepţia formulată de contestatorul A. privind nelegalitatea Deciziilor Preşedintelui Consiliului Superior al Magistraturii nr. Y. şi nr. Z.</w:t>
      </w:r>
    </w:p>
    <w:p w14:paraId="29532888" w14:textId="6AAA666F"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respins, ca nefondate, contestaţiile formulate de inculpaţii A. şi B. împotriva încheierii nr. 114 din 2 martie 2020, pronunţată de Înalta Curte de Casaţie şi Justiţie, Secţia penală.</w:t>
      </w:r>
    </w:p>
    <w:p w14:paraId="4AE30AB0" w14:textId="3FF4BF7D" w:rsidR="007661BE" w:rsidRPr="00250C7F" w:rsidRDefault="007661BE" w:rsidP="00891584">
      <w:pPr>
        <w:tabs>
          <w:tab w:val="left" w:pos="-1276"/>
        </w:tabs>
        <w:spacing w:after="0" w:line="276" w:lineRule="auto"/>
        <w:ind w:right="-58"/>
        <w:jc w:val="both"/>
        <w:rPr>
          <w:rFonts w:ascii="Times New Roman" w:eastAsia="Calibri" w:hAnsi="Times New Roman" w:cs="Times New Roman"/>
          <w:sz w:val="24"/>
          <w:szCs w:val="24"/>
        </w:rPr>
      </w:pPr>
    </w:p>
    <w:p w14:paraId="2B630523" w14:textId="77777777" w:rsidR="0090026C" w:rsidRPr="00250C7F" w:rsidRDefault="0090026C" w:rsidP="00891584">
      <w:pPr>
        <w:tabs>
          <w:tab w:val="left" w:pos="-1276"/>
        </w:tabs>
        <w:spacing w:after="0" w:line="276" w:lineRule="auto"/>
        <w:ind w:right="-58"/>
        <w:jc w:val="both"/>
        <w:rPr>
          <w:rFonts w:ascii="Times New Roman" w:eastAsia="Calibri" w:hAnsi="Times New Roman" w:cs="Times New Roman"/>
          <w:bCs/>
          <w:sz w:val="24"/>
          <w:szCs w:val="24"/>
        </w:rPr>
      </w:pPr>
    </w:p>
    <w:p w14:paraId="56D33650" w14:textId="0F25525D" w:rsidR="00BC294B" w:rsidRPr="00250C7F" w:rsidRDefault="00CB2D44" w:rsidP="003B2C29">
      <w:pPr>
        <w:pStyle w:val="Heading3"/>
        <w:spacing w:line="276" w:lineRule="auto"/>
        <w:jc w:val="both"/>
        <w:rPr>
          <w:rFonts w:ascii="Times New Roman" w:eastAsia="Calibri" w:hAnsi="Times New Roman" w:cs="Times New Roman"/>
          <w:b/>
          <w:bCs/>
          <w:color w:val="auto"/>
        </w:rPr>
      </w:pPr>
      <w:bookmarkStart w:id="54" w:name="_Toc84584833"/>
      <w:r w:rsidRPr="00250C7F">
        <w:rPr>
          <w:rFonts w:ascii="Times New Roman" w:eastAsia="Calibri" w:hAnsi="Times New Roman" w:cs="Times New Roman"/>
          <w:b/>
          <w:color w:val="auto"/>
        </w:rPr>
        <w:t>3</w:t>
      </w:r>
      <w:r w:rsidR="00DA7779" w:rsidRPr="00250C7F">
        <w:rPr>
          <w:rFonts w:ascii="Times New Roman" w:eastAsia="Calibri" w:hAnsi="Times New Roman" w:cs="Times New Roman"/>
          <w:b/>
          <w:color w:val="auto"/>
        </w:rPr>
        <w:t xml:space="preserve">. </w:t>
      </w:r>
      <w:r w:rsidR="00BC294B" w:rsidRPr="00250C7F">
        <w:rPr>
          <w:rFonts w:ascii="Times New Roman" w:eastAsia="Calibri" w:hAnsi="Times New Roman" w:cs="Times New Roman"/>
          <w:b/>
          <w:bCs/>
          <w:color w:val="auto"/>
        </w:rPr>
        <w:t>Cameră preliminară. Nulitatea ordonanţei de redeschidere a urmăririi penale. Nulitatea rechizitoriului. Efecte. Soluţii ce pot fi pronunţate în cadrul contestaţiei.</w:t>
      </w:r>
      <w:bookmarkEnd w:id="54"/>
    </w:p>
    <w:p w14:paraId="25D57D5F" w14:textId="77777777" w:rsidR="000303CA" w:rsidRPr="00250C7F" w:rsidRDefault="000303CA" w:rsidP="000303CA">
      <w:pPr>
        <w:spacing w:after="0" w:line="240" w:lineRule="auto"/>
      </w:pPr>
    </w:p>
    <w:p w14:paraId="6E03F1CD" w14:textId="6322BF3F" w:rsidR="00DA7779" w:rsidRPr="00250C7F" w:rsidRDefault="00BC294B" w:rsidP="000303CA">
      <w:pPr>
        <w:spacing w:after="0" w:line="240" w:lineRule="auto"/>
        <w:jc w:val="right"/>
        <w:rPr>
          <w:rFonts w:ascii="Times New Roman" w:eastAsia="Times New Roman" w:hAnsi="Times New Roman" w:cs="Times New Roman"/>
          <w:bCs/>
          <w:sz w:val="24"/>
          <w:szCs w:val="24"/>
          <w:lang w:eastAsia="ro-RO"/>
        </w:rPr>
      </w:pPr>
      <w:r w:rsidRPr="00250C7F">
        <w:rPr>
          <w:rFonts w:ascii="Times New Roman" w:eastAsia="Times New Roman" w:hAnsi="Times New Roman" w:cs="Times New Roman"/>
          <w:bCs/>
          <w:sz w:val="24"/>
          <w:szCs w:val="24"/>
          <w:lang w:eastAsia="ro-RO"/>
        </w:rPr>
        <w:t xml:space="preserve">                       C. proc. pen., art. 335, art. 346, art. 347</w:t>
      </w:r>
    </w:p>
    <w:p w14:paraId="470FB4D8" w14:textId="77777777" w:rsidR="00BC294B" w:rsidRPr="00250C7F" w:rsidRDefault="00BC294B" w:rsidP="00BC294B">
      <w:pPr>
        <w:spacing w:after="0" w:line="276" w:lineRule="auto"/>
        <w:jc w:val="right"/>
        <w:rPr>
          <w:rFonts w:ascii="Times New Roman" w:eastAsia="Calibri" w:hAnsi="Times New Roman" w:cs="Times New Roman"/>
          <w:b/>
          <w:bCs/>
          <w:sz w:val="24"/>
          <w:szCs w:val="24"/>
        </w:rPr>
      </w:pPr>
    </w:p>
    <w:p w14:paraId="3702D819" w14:textId="77777777" w:rsidR="00BC294B" w:rsidRPr="00250C7F" w:rsidRDefault="00BC294B" w:rsidP="00D0694D">
      <w:pPr>
        <w:spacing w:after="0" w:line="276" w:lineRule="auto"/>
        <w:ind w:firstLine="708"/>
        <w:jc w:val="both"/>
        <w:rPr>
          <w:rFonts w:ascii="Times New Roman" w:eastAsia="Times New Roman" w:hAnsi="Times New Roman" w:cs="Times New Roman"/>
          <w:i/>
          <w:iCs/>
          <w:color w:val="333333"/>
          <w:sz w:val="24"/>
          <w:szCs w:val="24"/>
          <w:lang w:eastAsia="ro-RO"/>
        </w:rPr>
      </w:pPr>
      <w:r w:rsidRPr="00250C7F">
        <w:rPr>
          <w:rFonts w:ascii="Times New Roman" w:eastAsia="Times New Roman" w:hAnsi="Times New Roman" w:cs="Times New Roman"/>
          <w:i/>
          <w:iCs/>
          <w:color w:val="333333"/>
          <w:sz w:val="24"/>
          <w:szCs w:val="24"/>
          <w:lang w:eastAsia="ro-RO"/>
        </w:rPr>
        <w:t>1. În cazul în care infirmarea ordonanţei de clasare emise de procurorul din cadrul unei secţii a Direcţiei Naţionale Anticorupţie şi redeschiderea urmăririi penale, în baza art. 335 alin. (1) C. proc. pen., au fost dispuse de procurorul şef al Direcţiei Naţionale Anticorupţie, cu încălcarea normelor de competenţă funcţională, întrucât procurorul şef al secţiei avea calitatea de procuror ierarhic superior, în sensul art. 335 alin. (1) C. proc. pen., ordonanţa de redeschidere a urmăririi penale este lovită de nulitate absolută. În temeiul dispoziţiilor art. 280 alin. (2) C. proc. pen., actele îndeplinite ulterior ordonanţei de redeschidere a urmăririi penale, inclusiv rechizitoriul, sunt lovite de nulitate absolută, întrucât există o legătură directă între acestea şi ordonanţa de redeschidere a urmăririi penale.    </w:t>
      </w:r>
    </w:p>
    <w:p w14:paraId="0328FD12" w14:textId="77777777" w:rsidR="00BC294B" w:rsidRPr="00250C7F" w:rsidRDefault="00BC294B" w:rsidP="00D0694D">
      <w:pPr>
        <w:spacing w:after="0" w:line="276" w:lineRule="auto"/>
        <w:ind w:firstLine="708"/>
        <w:jc w:val="both"/>
        <w:rPr>
          <w:rFonts w:ascii="Times New Roman" w:eastAsia="Times New Roman" w:hAnsi="Times New Roman" w:cs="Times New Roman"/>
          <w:i/>
          <w:iCs/>
          <w:color w:val="333333"/>
          <w:sz w:val="24"/>
          <w:szCs w:val="24"/>
          <w:lang w:eastAsia="ro-RO"/>
        </w:rPr>
      </w:pPr>
      <w:r w:rsidRPr="00250C7F">
        <w:rPr>
          <w:rFonts w:ascii="Times New Roman" w:eastAsia="Times New Roman" w:hAnsi="Times New Roman" w:cs="Times New Roman"/>
          <w:i/>
          <w:iCs/>
          <w:color w:val="333333"/>
          <w:sz w:val="24"/>
          <w:szCs w:val="24"/>
          <w:lang w:eastAsia="ro-RO"/>
        </w:rPr>
        <w:t>2. În acest caz, constatând nulitatea absolută în calea de atac a contestaţiei, completul de 2 judecători de cameră preliminară desfiinţează încheierea judecătorului de cameră preliminară de la instanţa sesizată prin rechizitoriu şi restituie cauza la parchet, în temeiul art. 346 alin. (3) lit. a) C. proc. pen., fără a aplica dispoziţiile art. 345 alin. (3) din acelaşi cod, întrucât nu se poate realiza remedierea rechizitoriului desfiinţat ca efect al nulităţii absolute.</w:t>
      </w:r>
    </w:p>
    <w:p w14:paraId="0DCB8D4A" w14:textId="77777777" w:rsidR="00DA7779" w:rsidRPr="00250C7F" w:rsidRDefault="00DA7779" w:rsidP="00891584">
      <w:pPr>
        <w:autoSpaceDE w:val="0"/>
        <w:autoSpaceDN w:val="0"/>
        <w:adjustRightInd w:val="0"/>
        <w:spacing w:after="0" w:line="276" w:lineRule="auto"/>
        <w:ind w:right="4"/>
        <w:jc w:val="right"/>
        <w:rPr>
          <w:rFonts w:ascii="Times New Roman" w:eastAsia="Calibri" w:hAnsi="Times New Roman" w:cs="Times New Roman"/>
          <w:sz w:val="24"/>
          <w:szCs w:val="24"/>
        </w:rPr>
      </w:pPr>
    </w:p>
    <w:p w14:paraId="54F8017C" w14:textId="51EC9A6C" w:rsidR="00DA7779" w:rsidRPr="00250C7F" w:rsidRDefault="00DA7779" w:rsidP="00BC294B">
      <w:pPr>
        <w:autoSpaceDE w:val="0"/>
        <w:autoSpaceDN w:val="0"/>
        <w:adjustRightInd w:val="0"/>
        <w:spacing w:after="0" w:line="276" w:lineRule="auto"/>
        <w:ind w:right="4"/>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I.C.C.J., Secţia penală, </w:t>
      </w:r>
      <w:r w:rsidR="00BC294B" w:rsidRPr="00250C7F">
        <w:rPr>
          <w:rFonts w:ascii="Times New Roman" w:eastAsia="Calibri" w:hAnsi="Times New Roman" w:cs="Times New Roman"/>
          <w:sz w:val="24"/>
          <w:szCs w:val="24"/>
        </w:rPr>
        <w:t>completul de 2 judecători de cameră preliminară, încheierea nr. 254 din 24 martie 2021</w:t>
      </w:r>
    </w:p>
    <w:p w14:paraId="495DD554" w14:textId="77777777" w:rsidR="00DA7779" w:rsidRPr="00250C7F" w:rsidRDefault="00DA7779" w:rsidP="00891584">
      <w:pPr>
        <w:autoSpaceDE w:val="0"/>
        <w:autoSpaceDN w:val="0"/>
        <w:adjustRightInd w:val="0"/>
        <w:spacing w:after="0" w:line="276" w:lineRule="auto"/>
        <w:ind w:right="4"/>
        <w:jc w:val="right"/>
        <w:rPr>
          <w:rFonts w:ascii="Times New Roman" w:eastAsia="Calibri" w:hAnsi="Times New Roman" w:cs="Times New Roman"/>
          <w:sz w:val="24"/>
          <w:szCs w:val="24"/>
        </w:rPr>
      </w:pPr>
    </w:p>
    <w:p w14:paraId="0BC16143"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încheierea din data de 6 aprilie 2020, Curtea de Apel Bucureşti, Secţia I penală a respins, ca neîntemeiate, cererile şi excepţiile formulate de inculpatul A.</w:t>
      </w:r>
    </w:p>
    <w:p w14:paraId="14BD0C34"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346 alin. (2) C. proc. pen., a constatat că instanţa este competentă să soluţioneze cauza, este legal sesizată cu rechizitoriul nr. X. din data de 3 decembrie 2019 al Parchetului de pe lângă Înalta Curte de Casaţie şi Justiţie - Direcţia Naţională Anticorupţie, probele au fost administrate în mod legal şi actele de urmărire penală efectuate în mod legal.</w:t>
      </w:r>
    </w:p>
    <w:p w14:paraId="3389D798"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baza art. 346 alin. (2) C. proc. pen., a dispus începerea judecăţii în cauza privind pe inculpatul A., trimis în judecată prin rechizitoriul nr. X. al Parchetului de pe lângă Înalta Curte de Casaţie şi Justiţie - Direcţia Naţională Anticorupţie.</w:t>
      </w:r>
    </w:p>
    <w:p w14:paraId="4A20BE9B"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Împotriva acestei încheieri, în termen legal, a formulat contestaţie inculpatul A.</w:t>
      </w:r>
    </w:p>
    <w:p w14:paraId="653D18B9"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Examinând contestaţia formulată de inculpatul A., în baza actelor şi lucrărilor de la dosar şi în raport cu criticile formulate, Înalta Curte de Casaţie şi Justiţie, completul de 2 judecători, constată că aceasta este fondată, având în vedere, în principal, următoarele considerente:</w:t>
      </w:r>
    </w:p>
    <w:p w14:paraId="73EA57EE"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Cu titlu preliminar, se reţine că prerogativele judecătorului de cameră preliminară în procedura reglementată pentru sesizarea instanţei prin rechizitoriu, aşa cum rezultă din cuprinsul dispoziţiilor art. 342 C. proc. pen., sunt limitate la verificarea competenţei instanţei sesizate prin rechizitoriu, a legalităţii sesizării instanţei şi a legalităţii administrării probelor şi efectuării actelor de către organele de urmărire penală.</w:t>
      </w:r>
    </w:p>
    <w:p w14:paraId="003C46CB"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Procedura camerei preliminare este reglementată ca procedură de filtru pregătitoare a fazei de judecată, scopul acesteia fiind acela de a verifica dacă urmărirea penală şi rechizitoriul sunt apte să declanșeze începerea judecății, după caz, dacă se impune refacerea actului de sesizare ori reluarea urmăririi penale.</w:t>
      </w:r>
    </w:p>
    <w:p w14:paraId="23747AA4"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Analizând contestația formulată în cauză, prin raportare la dispozițiile legale și consideraţiile menţionate anterior, precum și la criticile contestatorului, completul de 2 judecători al Înaltei Curți de Casaţie şi Justiţie constată că este prioritară în examinare excepția nulităţii ordonanței de redeschidere a urmăririi penale, fiind incidentă sancțiunea nulității absolute relativ la ordonanţa nr. Y. din 17 septembrie 2019 emisă de procurorul şef al Parchetului de pe lângă Înalta Curte de Casație și Justiție - Direcţia Naţională Anticorupție, şi a actelor de urmărire penală efectuate ulterior emiterii acesteia.</w:t>
      </w:r>
    </w:p>
    <w:p w14:paraId="4691B574"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concret, în cauză, prin ordonanţa din 6 septembrie 2019 emisă în dosarul nr. X. al Direcţiei Naţionale Anticorupție - Secţia de combatere a corupţiei, s-a dispus, printre altele, clasarea cauzei faţă de A. sub aspectul săvârșirii infracțiunii de luare de mită prevăzută în art. 289 alin. (1) C. pen., cu aplicarea art. 6 din Legea nr. 78/2000 şi art. 5 C. pen., şi spălare a banilor prevăzută în art. 49 alin. (1) lit. a) din Legea nr. 129/2019.</w:t>
      </w:r>
    </w:p>
    <w:p w14:paraId="5EEAFD21"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Ulterior, prin ordonanţa nr. Y. din 17 septembrie 2019 emisă de procurorul şef al Parchetului de pe lângă Înalta Curte de Casație și Justiție - Direcţia Naţională Anticorupție, s-a dispus infirmarea în întregime a ordonanței de clasare nr. X. din 6 septembrie 2019 a  Direcţiei Naţionale Anticorupție - Secţia de combatere a corupţiei, redeschiderea urmăririi penale în dosarul nr. X. al Direcţiei Naţionale Anticorupție - Secţia de combatere a corupţiei, reluarea şi </w:t>
      </w:r>
      <w:r w:rsidRPr="00250C7F">
        <w:rPr>
          <w:rFonts w:ascii="Times New Roman" w:eastAsia="Calibri" w:hAnsi="Times New Roman" w:cs="Times New Roman"/>
          <w:sz w:val="24"/>
          <w:szCs w:val="24"/>
        </w:rPr>
        <w:lastRenderedPageBreak/>
        <w:t>completarea urmăririi penale de procurorul desemnat de către procurorul şef al Secţiei de combatere a corupţiei.</w:t>
      </w:r>
    </w:p>
    <w:p w14:paraId="77FDBA98"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Înalta Curte de Casaţie şi Justiţie, completul de 2 judecători constată că ordonanţa prin care procurorul șef al Direcţiei Naţionale Anticorupție a infirmat soluţia de clasare dispusă în cauză de procurorul de caz a fost emisă cu încălcarea normelor de competenţă funcţională, a principiilor subordonării ierarhice şi legalităţii, astfel cum acestea sunt consacrate prin dispozițiile Legii nr. 304/2004, în sensul că procurorul șef al Direcţiei Naţionale Anticorupție nu avea calitatea de procuror ierarhic superior al celui care a dispus soluţia de clasare, soluția de infirmare fiind astfel nelegală.</w:t>
      </w:r>
    </w:p>
    <w:p w14:paraId="5BEC50BA"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Competenţa funcţională (</w:t>
      </w:r>
      <w:r w:rsidRPr="00250C7F">
        <w:rPr>
          <w:rFonts w:ascii="Times New Roman" w:eastAsia="Calibri" w:hAnsi="Times New Roman" w:cs="Times New Roman"/>
          <w:i/>
          <w:iCs/>
          <w:sz w:val="24"/>
          <w:szCs w:val="24"/>
        </w:rPr>
        <w:t>ratione officii</w:t>
      </w:r>
      <w:r w:rsidRPr="00250C7F">
        <w:rPr>
          <w:rFonts w:ascii="Times New Roman" w:eastAsia="Calibri" w:hAnsi="Times New Roman" w:cs="Times New Roman"/>
          <w:sz w:val="24"/>
          <w:szCs w:val="24"/>
        </w:rPr>
        <w:t>) este forma de competenţă prin care se stabileşte activitatea pe care o poate înfăptui organul judiciar şi este prevăzută prin norme imperative, în toate cazurile sub sancţiunea nulităţii absolute.</w:t>
      </w:r>
    </w:p>
    <w:p w14:paraId="13E1E4FC"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Potrivit principiului subordonării ierarhice, specific activităţii Ministerului Public, procurorii din fiecare parchet sunt subordonaţi conducătorului acelui parchet, iar acesta din urmă este subordonat conducătorului parchetului ierarhic superior din aceeaşi circumscripţie teritorială.</w:t>
      </w:r>
    </w:p>
    <w:p w14:paraId="5C1A6339"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ceea ce privește noțiunea de „procuror ierarhic superior”, dispoziţiile Codului de procedură penală fac referire la competenţa funcţională a procurorului învestit cu exercitarea unor atribuţii judiciare şi, implicit, la competenţa materială şi după calitatea persoanei, în situaţia cauzelor de competenţa unor unităţi de parchet de pe lângă instanţe de grad diferit de jurisdicţie sau structuri de parchet a căror organizare este reglementată prin legi speciale.</w:t>
      </w:r>
    </w:p>
    <w:p w14:paraId="7B5D6D13"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Dispoziţiile Codului de procedură penală, care se circumscriu principiului constituţional al controlului ierarhic specific organizării şi funcţionării Ministerului Public, sunt reglementate în două forme: fie se referă în mod generic la „procurorul ierarhic superior”, uneori prin adăugarea sintagmei „celui care a dispus soluţia”, fie se referă, în mod explicit, la funcţia determinată pe care o ocupă procurorul în ierarhia parchetelor. În toate cazurile, însă, referirea la procurorul ierarhic superior vizează activitatea judiciară a acestuia, ca subiect procesual oficial, respectiv la competenţa funcţională a acestuia, iar nu la atribuţiile de natură administrativă sau manageriale pe care le implică funcţia respectivă.</w:t>
      </w:r>
    </w:p>
    <w:p w14:paraId="4A2E7D45"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Prima formă, cea a sintagmei „procuror ierarhic superior”, este utilizată pentru determinarea competenţei funcţionale în rezolvarea unor incidente procesuale, cum ar fi: conflictul de competenţă dintre doi procurori, abţinerea sau recuzarea, infirmarea unor acte procesuale sau procedurale, preluarea cauzelor de la alte parchete, retragerea apelului sau acordul de recunoaştere a vinovăţiei.</w:t>
      </w:r>
    </w:p>
    <w:p w14:paraId="74889435"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Cea de-a doua formă, respectiv individualizarea funcţiei ocupate în ierarhia Ministerului Public este utilizată tot pentru determinarea competenţei funcţionale, însă în legătură cu atribuţii judiciare care se circumscriu funcţiei de control al legalităţii şi temeiniciei unor măsuri preventive [art. 209 alin. (15) C. proc. pen.], a renunţării la urmărire penală [art. 318 alin. (10) C. proc. pen.], a rechizitoriului (art. 328 C. proc. pen.) sau a actelor procurorului (art. 339 C. proc. pen.).</w:t>
      </w:r>
    </w:p>
    <w:p w14:paraId="36AAB4C8"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aceste din urmă cazuri, Codul de procedură penală determină în mod expres competenţa funcţională în favoarea prim-procurorului parchetului (pentru procurorii din cadrul parchetelor de pe lângă judecătorii şi tribunale), a procurorului general al parchetului de pe lângă curtea de apel (pentru procurorii din cadrul parchetului de pe lângă curtea de apel), a procurorului şef de secţie de la Parchetul de pe lângă Înalta Curte de Casaţie şi Justiţie (pentru procurorii din cadrul acestui </w:t>
      </w:r>
      <w:r w:rsidRPr="00250C7F">
        <w:rPr>
          <w:rFonts w:ascii="Times New Roman" w:eastAsia="Calibri" w:hAnsi="Times New Roman" w:cs="Times New Roman"/>
          <w:sz w:val="24"/>
          <w:szCs w:val="24"/>
        </w:rPr>
        <w:lastRenderedPageBreak/>
        <w:t>parchet) sau a procurorului general al Parchetului de pe lângă Înalta Curte de Casaţie şi Justiţie (pentru procurorul şef de secţie din cadrul acestui parchet).</w:t>
      </w:r>
    </w:p>
    <w:p w14:paraId="4DE63C7D"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Este de remarcat că şi în aceste situaţii, în care legiuitorul a individualizat funcţia procurorului în favoarea căruia a stabilit competenţa funcţională de a efectua controlul de legalitate şi temeinicie, s-a prevăzut că atunci când actul controlat a fost întocmit de un procuror cu funcţie de conducere, această verificare va fi realizată de procurorul ierarhic superior acestuia.</w:t>
      </w:r>
    </w:p>
    <w:p w14:paraId="14AB6D77"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raport cu modul de reglementare a categoriei „procuror ierarhic superior” rezultă următoarele concluzii:</w:t>
      </w:r>
    </w:p>
    <w:p w14:paraId="0F9330D8"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(i) calitatea de procuror ierarhic superior poate să rezulte exclusiv din lege, fie prin individualizarea funcţiei în cuprinsul unei norme de procedură penală care determină competenţa funcţională (spre exemplu, art. 328 C. proc. pen.), fie prin trimiterea din cuprinsul normei de procedură la o normă de organizare judiciară care stabileşte care este conducătorul unui anumit parchet (spre exemplu, art. 334 C. proc. pen.). În acelaşi sens, prin Decizia nr. 547 din 7 iulie 2020, publicată în M. Of. nr. 753 din 19 august 2020, Curtea Constituţională a reţinut că: „este evident că noţiunea de «procuror ierarhic superior» vizează întotdeauna o poziţie într-o ierarhie, determinată prin raportare la o anumită structură organizatorică. (...) Ordinea ierarhică nu poate avea ca fundament soluţiile dispuse în anumite cauze, ci o structură predeterminată, care funcţionează, potrivit art. 132 alin. (1) din Constituţie, după principiile legalităţii, imparţialităţii şi controlului ierarhic” (paragraful 68);</w:t>
      </w:r>
    </w:p>
    <w:p w14:paraId="1CC5944E"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(ii) regula generală este aceea că „procuror ierarhic superior” este conducătorul parchetului din care face parte procurorul care a întocmit actul supus verificării de legalitate sau temeinicie sau, în cazul în care acesta este procurorul care a întocmit actul, conducătorul parchetului ierarhic superior, iar regula specială este aceea că „procuror ierarhic superior” este fie procurorul care deţine o funcţie de conducere intermediară şi este menţionat explicit de o normă legală care îi atribuie competenţa funcţională (spre exemplu, procuror şef de secţie în cadrul Parchetului de pe lângă Înalta Curte de Casaţie şi Justiţie), fie procurorul care deţine o funcţie de conducere reglementată printr-o lege specială, cum sunt O. U. G. nr. 43/2002 privind Direcţia Naţională Anticorupţie sau O. U. G. nr. 78/2016 pentru organizarea şi funcţionarea Direcţiei de Investigare a Infracţiunilor de Criminalitate Organizată şi Terorism, precum şi pentru modificarea şi completarea unor acte normative. De altfel, în temeiul dispoziţiilor art. 30 lit. e), art. 79 lit. g) şi ale art. 80 lit. f) din Regulamentul de ordine interioară al Direcţiei Naţionale Anticorupţie, aprobat prin Ordinul ministrului justiţiei nr. 1.643/C/2015, publicat în M. Of. nr. 350 din 21 mai 2015, procurorii şefi de secţie, procurorii şefi ai serviciului teritorial şi procurorii şefi ai birourilor teritoriale verifică temeinicia şi legalitatea soluţiilor de netrimitere în judecată dispuse de procurorii din subordine.</w:t>
      </w:r>
    </w:p>
    <w:p w14:paraId="62D732E6"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Totodată, se observă faptul că prevederile art. 7 a) - ee), Capitolul I din Ordinul nr. 1.643/C din 15 mai 2015 pentru aprobarea Regulamentului de ordine interioară al Direcţiei Naţionale Anticorupţie, care cuprind atribuţiile procurorului şef al Direcţiei Naţionale Anticorupţie, nu conțin și atribuţii specifice în dosarele penale instrumentate de către procurorii din subordine.</w:t>
      </w:r>
    </w:p>
    <w:p w14:paraId="74C89517"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Prin Decizia nr. 547 din 7 iulie 2020, publicată în M. Of. nr. 753 din 19 august 2020, Curtea Constituţională a reţinut că „este evident că noţiunea de procuror ierarhic superior vizează întotdeauna o poziţie într-o ierarhie, determinată prin raportare la o anumită structură organizatorică”, concluzia care se impune fiind aceea că atât din perspectiva normei de organizare </w:t>
      </w:r>
      <w:r w:rsidRPr="00250C7F">
        <w:rPr>
          <w:rFonts w:ascii="Times New Roman" w:eastAsia="Calibri" w:hAnsi="Times New Roman" w:cs="Times New Roman"/>
          <w:sz w:val="24"/>
          <w:szCs w:val="24"/>
        </w:rPr>
        <w:lastRenderedPageBreak/>
        <w:t>judiciară (Legea nr. 304/2004), cât şi a normei de competenţă (Codul de procedură penală), controlul legalităţii şi temeiniciei actelor întocmite de procurori se realizează din treaptă în treaptă şi numai în mod excepţional, când legea prevede expres, este posibilă realizarea acestui control prin omiterea unor funcţii intermediare (spre exemplu, în cazul soluţiilor adoptate de către conducătorii parchetelor de pe lângă tribunale sau curţi de apel).</w:t>
      </w:r>
    </w:p>
    <w:p w14:paraId="4E0C9701"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Prin urmare, calitatea de „procuror ierarhic superior” revine procurorului în toate cazurile în care competenţa funcţională determinată de principiul controlului ierarhic este incidentă potrivit legii, neputând să fie lăsate la latitudinea procurorului cazurile în care îşi va exercita atribuţiile ce derivă din această calitate.</w:t>
      </w:r>
    </w:p>
    <w:p w14:paraId="5409E0BF"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același sens, completul de 2 judecători al Înaltei Curți de Casaţie şi Justiţie face trimitere la Decizia nr. 23 din 14 septembrie 2020 pronunțată în recurs în interesul legii de Înalta Curte de Casaţie şi Justiţie, publicată în M. Of. nr. 52 din 18 ianuarie 2021, prin care, cu privire la interpretarea și aplicarea unitară a dispozițiilor art. 335 alin. (1) C. proc. pen., s-a stabilit că „Procurorul general al Parchetului de pe lângă Înalta Curte de Casaţie şi Justiţie, în cazul infirmării unei soluţii dispuse de către un procuror din cadrul parchetelor din subordine ori structurilor specializate ale Parchetului de pe lângă Înalta Curte de Casaţie şi Justiţie (Direcţia Naţională Anticorupţie, Direcţia de Investigare a Infracţiunilor de Criminalitate Organizată şi Terorism), nu are în toate situaţiile calitatea expres prevăzută de art. 335 alin. (1) C. proc. pen. în care se face referire la </w:t>
      </w:r>
      <w:r w:rsidRPr="00250C7F">
        <w:rPr>
          <w:rFonts w:ascii="Times New Roman" w:eastAsia="Calibri" w:hAnsi="Times New Roman" w:cs="Times New Roman"/>
          <w:i/>
          <w:iCs/>
          <w:sz w:val="24"/>
          <w:szCs w:val="24"/>
        </w:rPr>
        <w:t>procurorul ierarhic superior celui care a dispus soluţia</w:t>
      </w:r>
      <w:r w:rsidRPr="00250C7F">
        <w:rPr>
          <w:rFonts w:ascii="Times New Roman" w:eastAsia="Calibri" w:hAnsi="Times New Roman" w:cs="Times New Roman"/>
          <w:sz w:val="24"/>
          <w:szCs w:val="24"/>
        </w:rPr>
        <w:t>.”</w:t>
      </w:r>
    </w:p>
    <w:p w14:paraId="19FFE1FF"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Or, din perspectiva tuturor dispozițiilor legale sus-menționate, reiese că procurorul șef al Direcţiei Naţionale Anticorupție nu avea ca atribuţii legale verificarea legalității și temeiniciei ordonanţei unui procuror din cadrul Secţiei de combatere a corupţiei pentru a putea dispune soluţia infirmării și redeschiderii urmăririi penale, competență care revenea exclusiv procurorului şef al secţiei din care făcea parte procurorul de caz.</w:t>
      </w:r>
    </w:p>
    <w:p w14:paraId="088DA89D"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Drept urmare, în înțelesul art. 335 alin. (1) C. proc. pen., procurorul ierarhic superior celui care a dispus soluţia de clasare, care putea infirma ordonanţa și dispune redeschiderea urmăririi penale, era procurorul șef al secţiei din care face parte procurorul care a dispus soluţia.</w:t>
      </w:r>
    </w:p>
    <w:p w14:paraId="3D8A529F"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Cât privește susținerea contestatorului, referitoare la faptul că procurorul ierarhic superior celui care a dat soluţia clasării (cel care ar fi avut calitatea de procuror ierarhic şi care ar fi putut infirma soluţia) a confirmat-o prin însușirea adreselor de înaintare, se observă că, pe de o parte, așa cum a reținut și judecătorul de cameră preliminară al primei instanțe, simpla semnare nu echivalează cu confirmarea soluției de clasare (ordonanţa de clasare nu era supusă confirmării, ea putând fi doar infirmată), iar pe de altă parte, ipoteza sancțiunii procesuale incidentă în cauză vizează împrejurarea că a fost infirmată de un procuror care nu avea atribuția legală în acest sens.</w:t>
      </w:r>
    </w:p>
    <w:p w14:paraId="7E907174"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raport de considerentele arătate, se constată că ordonanţa nr. Y. din 17 septembrie 2019, emisă de procurorul şef al Parchetului de pe lângă Înalta Curte de Casație și Justiție - Direcţia Naţională Anticorupție, este lovită de nulitate absolută, astfel că, în conformitate cu prevederile art. 280 alin. (2) C. proc. pen., toate actele îndeplinite ulterior acestui act, inclusiv rechizitoriul întocmit în cauză, sunt la rândul lor lovite de nulitate, întrucât există o legătură directă între acestea şi actul declarat nul.</w:t>
      </w:r>
    </w:p>
    <w:p w14:paraId="065D6B3A"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În ce privește această din urmă condiție, se constată că toate actele ulterioare nu puteau fi îndeplinite în lipsa actului nul, respectiv ordonanța de infirmare a soluției de clasare. Pentru actele subsecvente, nu se mai impune analiza condițiilor nulității absolute, sancționarea acestora fiind </w:t>
      </w:r>
      <w:r w:rsidRPr="00250C7F">
        <w:rPr>
          <w:rFonts w:ascii="Times New Roman" w:eastAsia="Calibri" w:hAnsi="Times New Roman" w:cs="Times New Roman"/>
          <w:sz w:val="24"/>
          <w:szCs w:val="24"/>
        </w:rPr>
        <w:lastRenderedPageBreak/>
        <w:t>exclusiv consecința nulității actului principal, care operează numai în temeiul legăturii lor directe cu actul principal și independent de propria conformitate cu legea.</w:t>
      </w:r>
    </w:p>
    <w:p w14:paraId="48E73BC1"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Faţă de cele anterior expuse, în temeiul art. 346 alin. (3) lit. a) C. proc. pen., urmează a fi admisă contestaţia formulată de inculpatul A. împotriva încheierii din data de 6 aprilie 2020 pronunţată de judecătorul de cameră preliminară din cadrul Curţii de Apel Bucureşti, Secţia I penală.</w:t>
      </w:r>
    </w:p>
    <w:p w14:paraId="69EC30FB"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Va fi desființată încheierea atacată și, în rejudecare:</w:t>
      </w:r>
    </w:p>
    <w:p w14:paraId="251FED2B"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Va admite excepția invocată de inculpatul A., privind nelegalitatea ordonanţei nr. Y. din 17 septembrie 2019 emisă de procurorul şef al Parchetului de pe lângă Înalta Curte de Casație și Justiție - Direcţia Naţională Anticorupție, prin care s-a dispus infirmarea în întregime a ordonanţei de clasare nr. X. din data de 6 septembrie 2019 a Parchetului de pe lângă Înalta Curte de Casație și Justiție - Direcţia Naţională Anticorupție - Secţia de combatere a corupţiei.</w:t>
      </w:r>
    </w:p>
    <w:p w14:paraId="54DA583F"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Va constata nulitatea absolută a ordonanţei nr. Y. din 17 septembrie 2019 emisă de procurorul şef al Parchetului de pe lângă Înalta Curte de Casație și Justiție - Direcţia Naţională Anticorupție, precum şi a tuturor actelor subsecvente acestei ordonanţe, inclusiv a rechizitoriului nr. X. din 3 decembrie 2019 emis de Parchetul de pe lângă Înalta Curte de Casație și Justiție - Direcţia Naţională Anticorupție, privind pe inculpatul A.</w:t>
      </w:r>
    </w:p>
    <w:p w14:paraId="5778499E"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Va dispune restituirea cauzei la Parchetul de pe lângă Înalta Curte de Casație și Justiție - Direcţia Naţională Anticorupție - Secţia de combatere a corupţiei.</w:t>
      </w:r>
    </w:p>
    <w:p w14:paraId="3CAD1F58"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Înalta Curte de Casaţie şi Justiţie, completul de 2 judecători nu a făcut aplicarea în cauză a dispoziţiilor art. 345 alin. (3) C. proc. pen., în sensul pronunţării unei încheieri şi comunicării acesteia Parchetului de pe lângă Înalta Curte de Casație și Justiție - Direcţia Naţională Anticorupție, pentru ca, în termen de 5 zile de la comunicarea actului, procurorul să remedieze neregularităţile actului de sesizare şi să comunice instanţei dacă menţine dispoziţia de trimitere în judecată ori solicită restituirea cauzei, întrucât, în raport cu soluţia pronunţată, aceea de constatare a nulităţii actului prin care s-a dispus redeschiderea urmăririi penale şi a tuturor actelor îndeplinite ulterior acestuia (ca efect al anulării actului principal), nu se mai poate vorbi despre remedierea actului de sesizare a instanţei, acesta fiind desfiinţat ca efect al nulităţii constatate, iar în lipsa unui act de sesizare a instanţei, nu se poate vorbi nici despre eventuala menţinere a dispoziţiei de trimitere în judecată.</w:t>
      </w:r>
    </w:p>
    <w:p w14:paraId="589850DA"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Ca atare, Înalta Curte de Casaţie şi Justiţie, completul de 2 judecători a dispus subsecvent constatării nulităţii actului de redeschidere a urmăririi penale emis de procurorul şef al Direcţiei Naţionale Anticorupţie restituirea cauzei la parchet, reţinând că la acest moment este în fiinţă şi produce efecte juridice ordonanţa de clasare nr. X. din data de 6 septembrie 2019 a Parchetului de pe lângă Înalta Curte de Casație și Justiție - Direcţia Naţională Anticorupție - Secţia de combatere a corupţiei.</w:t>
      </w:r>
    </w:p>
    <w:p w14:paraId="6662ABE3"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În consecinţă, Înalta Curte de Casaţie şi Justiţie, completul de 2 judecători a admis contestaţia formulată de inculpatul A. împotriva încheierii din data de 6 aprilie 2020 pronunţată de judecătorul de cameră preliminară din cadrul Curţii de Apel Bucureşti, Secţia I penală.</w:t>
      </w:r>
    </w:p>
    <w:p w14:paraId="7269047F"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desfiinţat încheierea atacată și, rejudecând:</w:t>
      </w:r>
    </w:p>
    <w:p w14:paraId="41DE5E98"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 xml:space="preserve">A admis excepția invocată de inculpatul A., de nelegalitate a ordonanţei nr. Y. din 17 septembrie 2019 emisă de procurorul şef al Parchetului de pe lângă Înalta Curte de Casație și Justiție - Direcţia Naţională Anticorupție prin care s-a dispus infirmarea în întregime a ordonanţei </w:t>
      </w:r>
      <w:r w:rsidRPr="00250C7F">
        <w:rPr>
          <w:rFonts w:ascii="Times New Roman" w:eastAsia="Calibri" w:hAnsi="Times New Roman" w:cs="Times New Roman"/>
          <w:sz w:val="24"/>
          <w:szCs w:val="24"/>
        </w:rPr>
        <w:lastRenderedPageBreak/>
        <w:t>de clasare nr. X. din data de 6 septembrie 2019 a Parchetului de pe lângă Înalta Curte de Casație și Justiție - Direcţia Naţională Anticorupţie - Secţia de combatere a corupţiei.</w:t>
      </w:r>
    </w:p>
    <w:p w14:paraId="0ADFBAC6"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constatat nulitatea absolută a ordonanţei nr. Y. din 17 septembrie 2019 emisă de procurorul şef al Parchetului de pe lângă Înalta Curte de Casație și Justiție - Direcţia Naţională Anticorupţie, precum şi a tuturor actelor subsecvente acestei ordonanţe, inclusiv a rechizitoriului nr. X. din 3 decembrie 2019 emis de Parchetul de pe lângă Înalta Curte de Casație și Justiție - Direcţia Naţională Anticorupţie, privind pe inculpatul A.</w:t>
      </w:r>
    </w:p>
    <w:p w14:paraId="440CF155" w14:textId="77777777" w:rsidR="00BC294B" w:rsidRPr="00250C7F" w:rsidRDefault="00BC294B" w:rsidP="00D0694D">
      <w:pPr>
        <w:spacing w:after="0" w:line="276" w:lineRule="auto"/>
        <w:ind w:firstLine="706"/>
        <w:jc w:val="both"/>
        <w:rPr>
          <w:rFonts w:ascii="Times New Roman" w:eastAsia="Calibri" w:hAnsi="Times New Roman" w:cs="Times New Roman"/>
          <w:sz w:val="24"/>
          <w:szCs w:val="24"/>
        </w:rPr>
      </w:pPr>
      <w:r w:rsidRPr="00250C7F">
        <w:rPr>
          <w:rFonts w:ascii="Times New Roman" w:eastAsia="Calibri" w:hAnsi="Times New Roman" w:cs="Times New Roman"/>
          <w:sz w:val="24"/>
          <w:szCs w:val="24"/>
        </w:rPr>
        <w:t>A dispus restituirea cauzei la Parchetul de pe lângă Înalta Curte de Casație și Justiție - Direcţia Naţională Anticorupţie - Secţia de combatere a corupţiei.</w:t>
      </w:r>
    </w:p>
    <w:p w14:paraId="3F931495" w14:textId="77777777" w:rsidR="00BC294B" w:rsidRPr="00250C7F" w:rsidRDefault="00BC294B" w:rsidP="00BC294B">
      <w:pPr>
        <w:spacing w:after="0" w:line="240" w:lineRule="auto"/>
        <w:ind w:firstLine="706"/>
        <w:jc w:val="both"/>
        <w:rPr>
          <w:rFonts w:ascii="Times New Roman" w:eastAsia="Calibri" w:hAnsi="Times New Roman" w:cs="Times New Roman"/>
          <w:sz w:val="28"/>
          <w:szCs w:val="28"/>
        </w:rPr>
      </w:pPr>
    </w:p>
    <w:p w14:paraId="19418FBA" w14:textId="77777777" w:rsidR="00DA7779" w:rsidRPr="00250C7F" w:rsidRDefault="00DA7779" w:rsidP="00891584">
      <w:pPr>
        <w:spacing w:after="0" w:line="276" w:lineRule="auto"/>
        <w:ind w:right="-171"/>
        <w:jc w:val="center"/>
        <w:rPr>
          <w:rFonts w:ascii="Times New Roman" w:eastAsia="Calibri" w:hAnsi="Times New Roman" w:cs="Times New Roman"/>
          <w:b/>
          <w:spacing w:val="-2"/>
          <w:position w:val="-2"/>
          <w:sz w:val="28"/>
          <w:szCs w:val="28"/>
        </w:rPr>
      </w:pPr>
    </w:p>
    <w:p w14:paraId="03338F1E" w14:textId="77777777" w:rsidR="00DA7779" w:rsidRPr="00250C7F" w:rsidRDefault="00DA7779" w:rsidP="00891584">
      <w:pPr>
        <w:spacing w:after="200" w:line="276" w:lineRule="auto"/>
        <w:rPr>
          <w:rFonts w:ascii="Calibri" w:eastAsia="Calibri" w:hAnsi="Calibri" w:cs="Times New Roman"/>
          <w:sz w:val="28"/>
          <w:szCs w:val="28"/>
        </w:rPr>
      </w:pPr>
    </w:p>
    <w:p w14:paraId="6C063362" w14:textId="77777777" w:rsidR="009217FC" w:rsidRPr="00250C7F" w:rsidRDefault="00443915" w:rsidP="00891584">
      <w:pPr>
        <w:pStyle w:val="Heading3"/>
        <w:spacing w:line="276" w:lineRule="auto"/>
        <w:jc w:val="both"/>
        <w:sectPr w:rsidR="009217FC" w:rsidRPr="00250C7F" w:rsidSect="00DD1F71">
          <w:footerReference w:type="default" r:id="rId20"/>
          <w:pgSz w:w="11906" w:h="16838" w:code="9"/>
          <w:pgMar w:top="284" w:right="1077" w:bottom="1418" w:left="1361" w:header="709" w:footer="709" w:gutter="0"/>
          <w:pgNumType w:start="1"/>
          <w:cols w:space="708"/>
          <w:docGrid w:linePitch="360"/>
        </w:sectPr>
      </w:pPr>
      <w:r w:rsidRPr="00250C7F">
        <w:br w:type="page"/>
      </w:r>
    </w:p>
    <w:p w14:paraId="44EE2D5E" w14:textId="77777777" w:rsidR="00443915" w:rsidRPr="00250C7F" w:rsidRDefault="00443915" w:rsidP="003446ED">
      <w:pPr>
        <w:pStyle w:val="Heading3"/>
        <w:spacing w:before="0"/>
        <w:jc w:val="both"/>
        <w:rPr>
          <w:rFonts w:ascii="Times New Roman" w:eastAsia="Times New Roman" w:hAnsi="Times New Roman" w:cs="Times New Roman"/>
          <w:b/>
          <w:color w:val="auto"/>
        </w:rPr>
      </w:pPr>
      <w:bookmarkStart w:id="55" w:name="_Toc84584834"/>
      <w:r w:rsidRPr="00250C7F">
        <w:rPr>
          <w:rFonts w:ascii="Times New Roman" w:eastAsia="Times New Roman" w:hAnsi="Times New Roman" w:cs="Times New Roman"/>
          <w:b/>
          <w:color w:val="auto"/>
        </w:rPr>
        <w:lastRenderedPageBreak/>
        <w:t>INDEX ALFABETIC:</w:t>
      </w:r>
      <w:bookmarkEnd w:id="55"/>
    </w:p>
    <w:p w14:paraId="004F35CF" w14:textId="77777777" w:rsidR="00443915" w:rsidRPr="00250C7F" w:rsidRDefault="00443915" w:rsidP="003446ED">
      <w:pPr>
        <w:spacing w:after="0" w:line="240" w:lineRule="auto"/>
        <w:jc w:val="both"/>
        <w:rPr>
          <w:rFonts w:ascii="Times New Roman" w:eastAsia="Times New Roman" w:hAnsi="Times New Roman" w:cs="Times New Roman"/>
          <w:sz w:val="24"/>
          <w:szCs w:val="24"/>
        </w:rPr>
      </w:pPr>
    </w:p>
    <w:p w14:paraId="37A9EB29" w14:textId="27B7085B" w:rsidR="004A17EB" w:rsidRPr="00250C7F" w:rsidRDefault="004A17EB" w:rsidP="003446ED">
      <w:pPr>
        <w:spacing w:after="0" w:line="240" w:lineRule="auto"/>
        <w:rPr>
          <w:rFonts w:ascii="Times New Roman" w:hAnsi="Times New Roman" w:cs="Times New Roman"/>
          <w:b/>
          <w:sz w:val="24"/>
          <w:szCs w:val="24"/>
        </w:rPr>
      </w:pPr>
      <w:r w:rsidRPr="00250C7F">
        <w:rPr>
          <w:rFonts w:ascii="Times New Roman" w:hAnsi="Times New Roman" w:cs="Times New Roman"/>
          <w:b/>
          <w:bCs/>
          <w:sz w:val="24"/>
          <w:szCs w:val="24"/>
        </w:rPr>
        <w:t>A</w:t>
      </w:r>
      <w:r w:rsidR="00DE56BE" w:rsidRPr="00250C7F">
        <w:rPr>
          <w:rFonts w:ascii="Times New Roman" w:hAnsi="Times New Roman" w:cs="Times New Roman"/>
          <w:sz w:val="24"/>
          <w:szCs w:val="24"/>
        </w:rPr>
        <w:t xml:space="preserve">buz în serviciu </w:t>
      </w:r>
      <w:r w:rsidR="00DE56BE" w:rsidRPr="00250C7F">
        <w:rPr>
          <w:rFonts w:ascii="Times New Roman" w:hAnsi="Times New Roman" w:cs="Times New Roman"/>
          <w:b/>
          <w:sz w:val="24"/>
          <w:szCs w:val="24"/>
        </w:rPr>
        <w:t>136</w:t>
      </w:r>
      <w:r w:rsidR="00442818" w:rsidRPr="00250C7F">
        <w:rPr>
          <w:rFonts w:ascii="Times New Roman" w:hAnsi="Times New Roman" w:cs="Times New Roman"/>
          <w:b/>
          <w:sz w:val="24"/>
          <w:szCs w:val="24"/>
        </w:rPr>
        <w:t>; 193</w:t>
      </w:r>
    </w:p>
    <w:p w14:paraId="74B79DC4" w14:textId="34BC50AF" w:rsidR="00ED4FEB" w:rsidRPr="00250C7F" w:rsidRDefault="00ED4F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accize. Scutire</w:t>
      </w:r>
      <w:r w:rsidR="00127CAC" w:rsidRPr="00250C7F">
        <w:rPr>
          <w:rFonts w:ascii="Times New Roman" w:hAnsi="Times New Roman" w:cs="Times New Roman"/>
          <w:sz w:val="24"/>
          <w:szCs w:val="24"/>
        </w:rPr>
        <w:t xml:space="preserve"> </w:t>
      </w:r>
      <w:r w:rsidR="00127CAC" w:rsidRPr="00250C7F">
        <w:rPr>
          <w:rFonts w:ascii="Times New Roman" w:hAnsi="Times New Roman" w:cs="Times New Roman"/>
          <w:b/>
          <w:bCs/>
          <w:sz w:val="24"/>
          <w:szCs w:val="24"/>
        </w:rPr>
        <w:t>120</w:t>
      </w:r>
    </w:p>
    <w:p w14:paraId="15904B36" w14:textId="660CD04F" w:rsidR="002E5FA6" w:rsidRPr="00250C7F" w:rsidRDefault="002E5FA6"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acord de predare</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48</w:t>
      </w:r>
    </w:p>
    <w:p w14:paraId="0CAF5BDD" w14:textId="2753CD8E"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act administrativ</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34</w:t>
      </w:r>
    </w:p>
    <w:p w14:paraId="55017ACE" w14:textId="204F2E2A" w:rsidR="00ED4FEB" w:rsidRPr="00250C7F" w:rsidRDefault="00ED4FEB" w:rsidP="003446ED">
      <w:pPr>
        <w:spacing w:after="0" w:line="240" w:lineRule="auto"/>
        <w:rPr>
          <w:rFonts w:ascii="Times New Roman" w:hAnsi="Times New Roman" w:cs="Times New Roman"/>
          <w:b/>
          <w:sz w:val="24"/>
          <w:szCs w:val="24"/>
        </w:rPr>
      </w:pPr>
      <w:r w:rsidRPr="00250C7F">
        <w:rPr>
          <w:rFonts w:ascii="Times New Roman" w:hAnsi="Times New Roman" w:cs="Times New Roman"/>
          <w:bCs/>
          <w:sz w:val="24"/>
          <w:szCs w:val="24"/>
        </w:rPr>
        <w:t>act administrativ cu caracter normativ</w:t>
      </w:r>
      <w:r w:rsidR="00127CAC" w:rsidRPr="00250C7F">
        <w:rPr>
          <w:rFonts w:ascii="Times New Roman" w:hAnsi="Times New Roman" w:cs="Times New Roman"/>
          <w:bCs/>
          <w:sz w:val="24"/>
          <w:szCs w:val="24"/>
        </w:rPr>
        <w:t xml:space="preserve"> </w:t>
      </w:r>
      <w:r w:rsidR="00127CAC" w:rsidRPr="00250C7F">
        <w:rPr>
          <w:rFonts w:ascii="Times New Roman" w:hAnsi="Times New Roman" w:cs="Times New Roman"/>
          <w:b/>
          <w:bCs/>
          <w:sz w:val="24"/>
          <w:szCs w:val="24"/>
        </w:rPr>
        <w:t>120</w:t>
      </w:r>
    </w:p>
    <w:p w14:paraId="3E63EA34" w14:textId="77963C3B" w:rsidR="004A17EB" w:rsidRPr="00250C7F" w:rsidRDefault="004A17EB" w:rsidP="003446ED">
      <w:pPr>
        <w:spacing w:after="0" w:line="240" w:lineRule="auto"/>
        <w:rPr>
          <w:rFonts w:ascii="Times New Roman" w:hAnsi="Times New Roman" w:cs="Times New Roman"/>
          <w:b/>
          <w:sz w:val="24"/>
          <w:szCs w:val="24"/>
        </w:rPr>
      </w:pPr>
      <w:r w:rsidRPr="00250C7F">
        <w:rPr>
          <w:rFonts w:ascii="Times New Roman" w:hAnsi="Times New Roman" w:cs="Times New Roman"/>
          <w:sz w:val="24"/>
          <w:szCs w:val="24"/>
        </w:rPr>
        <w:t>act administrativ fiscal</w:t>
      </w:r>
      <w:r w:rsidR="002E7C20" w:rsidRPr="00250C7F">
        <w:rPr>
          <w:rFonts w:ascii="Times New Roman" w:hAnsi="Times New Roman" w:cs="Times New Roman"/>
          <w:sz w:val="24"/>
          <w:szCs w:val="24"/>
        </w:rPr>
        <w:t xml:space="preserve"> </w:t>
      </w:r>
      <w:r w:rsidR="002E7C20" w:rsidRPr="00250C7F">
        <w:rPr>
          <w:rFonts w:ascii="Times New Roman" w:hAnsi="Times New Roman" w:cs="Times New Roman"/>
          <w:b/>
          <w:sz w:val="24"/>
          <w:szCs w:val="24"/>
        </w:rPr>
        <w:t>108</w:t>
      </w:r>
    </w:p>
    <w:p w14:paraId="59919B78" w14:textId="76F96AA0" w:rsidR="003446ED" w:rsidRPr="00250C7F" w:rsidRDefault="003446ED" w:rsidP="003446ED">
      <w:pPr>
        <w:spacing w:after="0" w:line="240" w:lineRule="auto"/>
        <w:rPr>
          <w:rFonts w:ascii="Times New Roman" w:hAnsi="Times New Roman" w:cs="Times New Roman"/>
          <w:b/>
          <w:sz w:val="24"/>
          <w:szCs w:val="24"/>
        </w:rPr>
      </w:pPr>
      <w:r w:rsidRPr="00250C7F">
        <w:rPr>
          <w:rFonts w:ascii="Times New Roman" w:hAnsi="Times New Roman" w:cs="Times New Roman"/>
          <w:sz w:val="24"/>
          <w:szCs w:val="24"/>
        </w:rPr>
        <w:t xml:space="preserve">act administrativ individual </w:t>
      </w:r>
      <w:r w:rsidRPr="00250C7F">
        <w:rPr>
          <w:rFonts w:ascii="Times New Roman" w:hAnsi="Times New Roman" w:cs="Times New Roman"/>
          <w:b/>
          <w:sz w:val="24"/>
          <w:szCs w:val="24"/>
        </w:rPr>
        <w:t>3</w:t>
      </w:r>
    </w:p>
    <w:p w14:paraId="597C6493" w14:textId="70718F82" w:rsidR="003446ED" w:rsidRPr="00250C7F" w:rsidRDefault="003446ED"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 xml:space="preserve">act administrativ normativ </w:t>
      </w:r>
      <w:r w:rsidRPr="00250C7F">
        <w:rPr>
          <w:rFonts w:ascii="Times New Roman" w:hAnsi="Times New Roman" w:cs="Times New Roman"/>
          <w:b/>
          <w:sz w:val="24"/>
          <w:szCs w:val="24"/>
        </w:rPr>
        <w:t>3</w:t>
      </w:r>
    </w:p>
    <w:p w14:paraId="1A1C9A38" w14:textId="514262D9"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activitate salarizată</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22</w:t>
      </w:r>
    </w:p>
    <w:p w14:paraId="7AD6F85E" w14:textId="0E6DBDF7" w:rsidR="00ED4FEB" w:rsidRPr="00250C7F" w:rsidRDefault="00ED4FEB" w:rsidP="003446ED">
      <w:pPr>
        <w:spacing w:after="0" w:line="240" w:lineRule="auto"/>
        <w:rPr>
          <w:rFonts w:ascii="Times New Roman" w:hAnsi="Times New Roman" w:cs="Times New Roman"/>
          <w:bCs/>
          <w:sz w:val="24"/>
          <w:szCs w:val="24"/>
        </w:rPr>
      </w:pPr>
      <w:r w:rsidRPr="00250C7F">
        <w:rPr>
          <w:rFonts w:ascii="Times New Roman" w:hAnsi="Times New Roman" w:cs="Times New Roman"/>
          <w:bCs/>
          <w:sz w:val="24"/>
          <w:szCs w:val="24"/>
        </w:rPr>
        <w:t>acţiune în anulare</w:t>
      </w:r>
      <w:r w:rsidR="00127CAC" w:rsidRPr="00250C7F">
        <w:rPr>
          <w:rFonts w:ascii="Times New Roman" w:hAnsi="Times New Roman" w:cs="Times New Roman"/>
          <w:bCs/>
          <w:sz w:val="24"/>
          <w:szCs w:val="24"/>
        </w:rPr>
        <w:t xml:space="preserve"> </w:t>
      </w:r>
      <w:r w:rsidR="00127CAC" w:rsidRPr="00250C7F">
        <w:rPr>
          <w:rFonts w:ascii="Times New Roman" w:hAnsi="Times New Roman" w:cs="Times New Roman"/>
          <w:b/>
          <w:bCs/>
          <w:sz w:val="24"/>
          <w:szCs w:val="24"/>
        </w:rPr>
        <w:t>120</w:t>
      </w:r>
    </w:p>
    <w:p w14:paraId="56551B34" w14:textId="0F205D17"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 xml:space="preserve">acţiune în constatarea nulităţii absolute </w:t>
      </w:r>
      <w:r w:rsidR="00F60214" w:rsidRPr="00250C7F">
        <w:rPr>
          <w:rFonts w:ascii="Times New Roman" w:hAnsi="Times New Roman" w:cs="Times New Roman"/>
          <w:b/>
          <w:bCs/>
          <w:sz w:val="24"/>
          <w:szCs w:val="24"/>
        </w:rPr>
        <w:t>85</w:t>
      </w:r>
      <w:r w:rsidR="009178B0" w:rsidRPr="00250C7F">
        <w:rPr>
          <w:rFonts w:ascii="Times New Roman" w:hAnsi="Times New Roman" w:cs="Times New Roman"/>
          <w:b/>
          <w:bCs/>
          <w:sz w:val="24"/>
          <w:szCs w:val="24"/>
        </w:rPr>
        <w:t>; 93</w:t>
      </w:r>
    </w:p>
    <w:p w14:paraId="1A0170F6" w14:textId="5813AC21"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 xml:space="preserve">acţiune în pretenţii </w:t>
      </w:r>
      <w:r w:rsidR="00414E75" w:rsidRPr="00250C7F">
        <w:rPr>
          <w:rFonts w:ascii="Times New Roman" w:hAnsi="Times New Roman" w:cs="Times New Roman"/>
          <w:b/>
          <w:bCs/>
          <w:sz w:val="24"/>
          <w:szCs w:val="24"/>
        </w:rPr>
        <w:t>88</w:t>
      </w:r>
      <w:r w:rsidR="009178B0" w:rsidRPr="00250C7F">
        <w:rPr>
          <w:rFonts w:ascii="Times New Roman" w:hAnsi="Times New Roman" w:cs="Times New Roman"/>
          <w:b/>
          <w:bCs/>
          <w:sz w:val="24"/>
          <w:szCs w:val="24"/>
        </w:rPr>
        <w:t>; 98</w:t>
      </w:r>
      <w:r w:rsidR="00DD30B1" w:rsidRPr="00250C7F">
        <w:rPr>
          <w:rFonts w:ascii="Times New Roman" w:hAnsi="Times New Roman" w:cs="Times New Roman"/>
          <w:b/>
          <w:bCs/>
          <w:sz w:val="24"/>
          <w:szCs w:val="24"/>
        </w:rPr>
        <w:t xml:space="preserve">; </w:t>
      </w:r>
      <w:r w:rsidR="00DD30B1" w:rsidRPr="00250C7F">
        <w:rPr>
          <w:rFonts w:ascii="Times New Roman" w:hAnsi="Times New Roman" w:cs="Times New Roman"/>
          <w:b/>
          <w:sz w:val="24"/>
          <w:szCs w:val="24"/>
        </w:rPr>
        <w:t>188</w:t>
      </w:r>
    </w:p>
    <w:p w14:paraId="44574364" w14:textId="6CB89C1C"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anatocism</w:t>
      </w:r>
      <w:r w:rsidR="00414E75" w:rsidRPr="00250C7F">
        <w:rPr>
          <w:rFonts w:ascii="Times New Roman" w:hAnsi="Times New Roman" w:cs="Times New Roman"/>
          <w:sz w:val="24"/>
          <w:szCs w:val="24"/>
        </w:rPr>
        <w:t xml:space="preserve"> </w:t>
      </w:r>
      <w:r w:rsidR="00414E75" w:rsidRPr="00250C7F">
        <w:rPr>
          <w:rFonts w:ascii="Times New Roman" w:hAnsi="Times New Roman" w:cs="Times New Roman"/>
          <w:b/>
          <w:bCs/>
          <w:sz w:val="24"/>
          <w:szCs w:val="24"/>
        </w:rPr>
        <w:t>88</w:t>
      </w:r>
    </w:p>
    <w:p w14:paraId="0149BE16" w14:textId="544C35FA" w:rsidR="003446ED" w:rsidRPr="00250C7F" w:rsidRDefault="003446ED" w:rsidP="003446ED">
      <w:pPr>
        <w:spacing w:after="0" w:line="240" w:lineRule="auto"/>
        <w:rPr>
          <w:rFonts w:ascii="Times New Roman" w:hAnsi="Times New Roman" w:cs="Times New Roman"/>
          <w:sz w:val="24"/>
          <w:szCs w:val="24"/>
        </w:rPr>
      </w:pPr>
      <w:r w:rsidRPr="00250C7F">
        <w:rPr>
          <w:rFonts w:ascii="Times New Roman" w:hAnsi="Times New Roman" w:cs="Times New Roman"/>
          <w:bCs/>
          <w:sz w:val="24"/>
          <w:szCs w:val="24"/>
        </w:rPr>
        <w:t xml:space="preserve">ANRE </w:t>
      </w:r>
      <w:r w:rsidRPr="00250C7F">
        <w:rPr>
          <w:rFonts w:ascii="Times New Roman" w:hAnsi="Times New Roman" w:cs="Times New Roman"/>
          <w:b/>
          <w:sz w:val="24"/>
          <w:szCs w:val="24"/>
        </w:rPr>
        <w:t>3</w:t>
      </w:r>
    </w:p>
    <w:p w14:paraId="62C12BBE" w14:textId="76BAEA2A"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antecontract de vânzare</w:t>
      </w:r>
      <w:r w:rsidR="009178B0" w:rsidRPr="00250C7F">
        <w:rPr>
          <w:rFonts w:ascii="Times New Roman" w:hAnsi="Times New Roman" w:cs="Times New Roman"/>
          <w:sz w:val="24"/>
          <w:szCs w:val="24"/>
        </w:rPr>
        <w:t xml:space="preserve"> </w:t>
      </w:r>
      <w:r w:rsidR="009178B0" w:rsidRPr="00250C7F">
        <w:rPr>
          <w:rFonts w:ascii="Times New Roman" w:hAnsi="Times New Roman" w:cs="Times New Roman"/>
          <w:b/>
          <w:bCs/>
          <w:sz w:val="24"/>
          <w:szCs w:val="24"/>
        </w:rPr>
        <w:t>93</w:t>
      </w:r>
    </w:p>
    <w:p w14:paraId="27B7FEC0" w14:textId="5FDCDE71"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avocat</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22</w:t>
      </w:r>
    </w:p>
    <w:p w14:paraId="2F03C197" w14:textId="77777777" w:rsidR="004A17EB" w:rsidRPr="00250C7F" w:rsidRDefault="004A17EB" w:rsidP="003446ED">
      <w:pPr>
        <w:spacing w:after="0" w:line="240" w:lineRule="auto"/>
        <w:rPr>
          <w:rFonts w:ascii="Times New Roman" w:hAnsi="Times New Roman" w:cs="Times New Roman"/>
          <w:sz w:val="24"/>
          <w:szCs w:val="24"/>
        </w:rPr>
      </w:pPr>
    </w:p>
    <w:p w14:paraId="3E267FCB" w14:textId="5AC977A7"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B</w:t>
      </w:r>
      <w:r w:rsidRPr="00250C7F">
        <w:rPr>
          <w:rFonts w:ascii="Times New Roman" w:hAnsi="Times New Roman" w:cs="Times New Roman"/>
          <w:sz w:val="24"/>
          <w:szCs w:val="24"/>
        </w:rPr>
        <w:t>arou</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22</w:t>
      </w:r>
    </w:p>
    <w:p w14:paraId="66016297" w14:textId="24A4A07D"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bonus de performanţă</w:t>
      </w:r>
      <w:r w:rsidR="009178B0" w:rsidRPr="00250C7F">
        <w:rPr>
          <w:rFonts w:ascii="Times New Roman" w:hAnsi="Times New Roman" w:cs="Times New Roman"/>
          <w:sz w:val="24"/>
          <w:szCs w:val="24"/>
        </w:rPr>
        <w:t xml:space="preserve"> </w:t>
      </w:r>
      <w:r w:rsidR="009178B0" w:rsidRPr="00250C7F">
        <w:rPr>
          <w:rFonts w:ascii="Times New Roman" w:hAnsi="Times New Roman" w:cs="Times New Roman"/>
          <w:b/>
          <w:bCs/>
          <w:sz w:val="24"/>
          <w:szCs w:val="24"/>
        </w:rPr>
        <w:t>98</w:t>
      </w:r>
    </w:p>
    <w:p w14:paraId="770F5164" w14:textId="77777777" w:rsidR="004A17EB" w:rsidRPr="00250C7F" w:rsidRDefault="004A17EB" w:rsidP="003446ED">
      <w:pPr>
        <w:spacing w:after="0" w:line="240" w:lineRule="auto"/>
        <w:rPr>
          <w:rFonts w:ascii="Times New Roman" w:hAnsi="Times New Roman" w:cs="Times New Roman"/>
          <w:sz w:val="24"/>
          <w:szCs w:val="24"/>
        </w:rPr>
      </w:pPr>
    </w:p>
    <w:p w14:paraId="04C02464" w14:textId="2AD7EFB5" w:rsidR="003446ED" w:rsidRPr="00250C7F" w:rsidRDefault="004A17EB" w:rsidP="003446ED">
      <w:pPr>
        <w:spacing w:after="0" w:line="240" w:lineRule="auto"/>
        <w:rPr>
          <w:rFonts w:ascii="Times New Roman" w:hAnsi="Times New Roman" w:cs="Times New Roman"/>
          <w:bCs/>
          <w:sz w:val="24"/>
          <w:szCs w:val="24"/>
        </w:rPr>
      </w:pPr>
      <w:r w:rsidRPr="00250C7F">
        <w:rPr>
          <w:rFonts w:ascii="Times New Roman" w:hAnsi="Times New Roman" w:cs="Times New Roman"/>
          <w:b/>
          <w:bCs/>
          <w:sz w:val="24"/>
          <w:szCs w:val="24"/>
        </w:rPr>
        <w:t>C</w:t>
      </w:r>
      <w:r w:rsidR="003446ED" w:rsidRPr="00250C7F">
        <w:rPr>
          <w:rFonts w:ascii="Times New Roman" w:hAnsi="Times New Roman" w:cs="Times New Roman"/>
          <w:bCs/>
          <w:sz w:val="24"/>
          <w:szCs w:val="24"/>
        </w:rPr>
        <w:t xml:space="preserve">alitate procesuală pasivă </w:t>
      </w:r>
      <w:r w:rsidR="003446ED" w:rsidRPr="00250C7F">
        <w:rPr>
          <w:rFonts w:ascii="Times New Roman" w:hAnsi="Times New Roman" w:cs="Times New Roman"/>
          <w:b/>
          <w:sz w:val="24"/>
          <w:szCs w:val="24"/>
        </w:rPr>
        <w:t>3</w:t>
      </w:r>
    </w:p>
    <w:p w14:paraId="21B26650" w14:textId="55D91D46" w:rsidR="004A17EB" w:rsidRPr="00250C7F" w:rsidRDefault="003446ED" w:rsidP="003446ED">
      <w:pPr>
        <w:spacing w:after="0" w:line="240" w:lineRule="auto"/>
        <w:rPr>
          <w:rFonts w:ascii="Times New Roman" w:hAnsi="Times New Roman" w:cs="Times New Roman"/>
          <w:sz w:val="24"/>
          <w:szCs w:val="24"/>
        </w:rPr>
      </w:pPr>
      <w:r w:rsidRPr="00250C7F">
        <w:rPr>
          <w:rFonts w:ascii="Times New Roman" w:hAnsi="Times New Roman" w:cs="Times New Roman"/>
          <w:bCs/>
          <w:sz w:val="24"/>
          <w:szCs w:val="24"/>
        </w:rPr>
        <w:t>c</w:t>
      </w:r>
      <w:r w:rsidR="00442818" w:rsidRPr="00250C7F">
        <w:rPr>
          <w:rFonts w:ascii="Times New Roman" w:hAnsi="Times New Roman" w:cs="Times New Roman"/>
          <w:sz w:val="24"/>
          <w:szCs w:val="24"/>
        </w:rPr>
        <w:t xml:space="preserve">ameră preliminară </w:t>
      </w:r>
      <w:r w:rsidR="00442818" w:rsidRPr="00250C7F">
        <w:rPr>
          <w:rFonts w:ascii="Times New Roman" w:hAnsi="Times New Roman" w:cs="Times New Roman"/>
          <w:b/>
          <w:sz w:val="24"/>
          <w:szCs w:val="24"/>
        </w:rPr>
        <w:t>193; 196; 201</w:t>
      </w:r>
    </w:p>
    <w:p w14:paraId="043D0B63" w14:textId="249BF8C3" w:rsidR="003446ED" w:rsidRPr="00250C7F" w:rsidRDefault="003446ED"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 xml:space="preserve">capacitate administrativă </w:t>
      </w:r>
      <w:r w:rsidRPr="00250C7F">
        <w:rPr>
          <w:rFonts w:ascii="Times New Roman" w:hAnsi="Times New Roman" w:cs="Times New Roman"/>
          <w:b/>
          <w:sz w:val="24"/>
          <w:szCs w:val="24"/>
        </w:rPr>
        <w:t>3</w:t>
      </w:r>
    </w:p>
    <w:p w14:paraId="3D5E4FD5" w14:textId="5F71CA6B" w:rsidR="00894830" w:rsidRPr="00250C7F" w:rsidRDefault="00894830" w:rsidP="003446ED">
      <w:pPr>
        <w:spacing w:after="0" w:line="240" w:lineRule="auto"/>
        <w:rPr>
          <w:rFonts w:ascii="Times New Roman" w:hAnsi="Times New Roman" w:cs="Times New Roman"/>
          <w:b/>
          <w:sz w:val="24"/>
          <w:szCs w:val="24"/>
        </w:rPr>
      </w:pPr>
      <w:r w:rsidRPr="00250C7F">
        <w:rPr>
          <w:rFonts w:ascii="Times New Roman" w:hAnsi="Times New Roman" w:cs="Times New Roman"/>
          <w:sz w:val="24"/>
          <w:szCs w:val="24"/>
        </w:rPr>
        <w:t>capacitate procesuală de folosinţă</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161</w:t>
      </w:r>
    </w:p>
    <w:p w14:paraId="540BBDA3" w14:textId="78665CCA" w:rsidR="004A17EB" w:rsidRPr="00250C7F" w:rsidRDefault="00EE502A" w:rsidP="003446ED">
      <w:pPr>
        <w:spacing w:after="0" w:line="240" w:lineRule="auto"/>
        <w:rPr>
          <w:rFonts w:ascii="Times New Roman" w:hAnsi="Times New Roman" w:cs="Times New Roman"/>
          <w:b/>
          <w:sz w:val="24"/>
          <w:szCs w:val="24"/>
        </w:rPr>
      </w:pPr>
      <w:r>
        <w:rPr>
          <w:rFonts w:ascii="Times New Roman" w:hAnsi="Times New Roman" w:cs="Times New Roman"/>
          <w:sz w:val="24"/>
          <w:szCs w:val="24"/>
        </w:rPr>
        <w:t>c</w:t>
      </w:r>
      <w:r w:rsidR="004A17EB" w:rsidRPr="00250C7F">
        <w:rPr>
          <w:rFonts w:ascii="Times New Roman" w:hAnsi="Times New Roman" w:cs="Times New Roman"/>
          <w:sz w:val="24"/>
          <w:szCs w:val="24"/>
        </w:rPr>
        <w:t>apital. Valoare pozitivă/Valoare negativă</w:t>
      </w:r>
      <w:r w:rsidR="002E7C20" w:rsidRPr="00250C7F">
        <w:rPr>
          <w:rFonts w:ascii="Times New Roman" w:hAnsi="Times New Roman" w:cs="Times New Roman"/>
          <w:sz w:val="24"/>
          <w:szCs w:val="24"/>
        </w:rPr>
        <w:t xml:space="preserve"> </w:t>
      </w:r>
      <w:r w:rsidR="002E7C20" w:rsidRPr="00250C7F">
        <w:rPr>
          <w:rFonts w:ascii="Times New Roman" w:hAnsi="Times New Roman" w:cs="Times New Roman"/>
          <w:b/>
          <w:sz w:val="24"/>
          <w:szCs w:val="24"/>
        </w:rPr>
        <w:t>114</w:t>
      </w:r>
    </w:p>
    <w:p w14:paraId="31546813" w14:textId="6A92B703" w:rsidR="003446ED" w:rsidRPr="00250C7F" w:rsidRDefault="00EE502A" w:rsidP="003446ED">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3446ED" w:rsidRPr="00250C7F">
        <w:rPr>
          <w:rFonts w:ascii="Times New Roman" w:hAnsi="Times New Roman" w:cs="Times New Roman"/>
          <w:sz w:val="24"/>
          <w:szCs w:val="24"/>
        </w:rPr>
        <w:t xml:space="preserve">ertificate verzi </w:t>
      </w:r>
      <w:r w:rsidR="003446ED" w:rsidRPr="00250C7F">
        <w:rPr>
          <w:rFonts w:ascii="Times New Roman" w:hAnsi="Times New Roman" w:cs="Times New Roman"/>
          <w:b/>
          <w:sz w:val="24"/>
          <w:szCs w:val="24"/>
        </w:rPr>
        <w:t>3</w:t>
      </w:r>
    </w:p>
    <w:p w14:paraId="6177075B" w14:textId="015BD25D"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cetăţean străin</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34</w:t>
      </w:r>
    </w:p>
    <w:p w14:paraId="2E62128A" w14:textId="1E91D1D7"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cheltuieli deductibile</w:t>
      </w:r>
      <w:r w:rsidR="002E7C20" w:rsidRPr="00250C7F">
        <w:rPr>
          <w:rFonts w:ascii="Times New Roman" w:hAnsi="Times New Roman" w:cs="Times New Roman"/>
          <w:sz w:val="24"/>
          <w:szCs w:val="24"/>
        </w:rPr>
        <w:t xml:space="preserve"> </w:t>
      </w:r>
      <w:r w:rsidR="002E7C20" w:rsidRPr="00250C7F">
        <w:rPr>
          <w:rFonts w:ascii="Times New Roman" w:hAnsi="Times New Roman" w:cs="Times New Roman"/>
          <w:b/>
          <w:sz w:val="24"/>
          <w:szCs w:val="24"/>
        </w:rPr>
        <w:t>114</w:t>
      </w:r>
    </w:p>
    <w:p w14:paraId="036E01DE" w14:textId="122AEBCE"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chestiuni prealabile</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196</w:t>
      </w:r>
    </w:p>
    <w:p w14:paraId="2E4A4AEF" w14:textId="282EF92D"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clauză de inalienabilitate</w:t>
      </w:r>
      <w:r w:rsidR="009178B0" w:rsidRPr="00250C7F">
        <w:rPr>
          <w:rFonts w:ascii="Times New Roman" w:hAnsi="Times New Roman" w:cs="Times New Roman"/>
          <w:sz w:val="24"/>
          <w:szCs w:val="24"/>
        </w:rPr>
        <w:t xml:space="preserve"> </w:t>
      </w:r>
      <w:r w:rsidR="009178B0" w:rsidRPr="00250C7F">
        <w:rPr>
          <w:rFonts w:ascii="Times New Roman" w:hAnsi="Times New Roman" w:cs="Times New Roman"/>
          <w:b/>
          <w:bCs/>
          <w:sz w:val="24"/>
          <w:szCs w:val="24"/>
        </w:rPr>
        <w:t>93</w:t>
      </w:r>
    </w:p>
    <w:p w14:paraId="2D19FE6D" w14:textId="4E21ADE7" w:rsidR="00ED4FEB" w:rsidRPr="00250C7F" w:rsidRDefault="00ED4FEB" w:rsidP="003446ED">
      <w:pPr>
        <w:spacing w:after="0" w:line="240" w:lineRule="auto"/>
        <w:rPr>
          <w:rFonts w:ascii="Times New Roman" w:hAnsi="Times New Roman" w:cs="Times New Roman"/>
          <w:sz w:val="24"/>
          <w:szCs w:val="24"/>
        </w:rPr>
      </w:pPr>
      <w:r w:rsidRPr="00250C7F">
        <w:rPr>
          <w:rFonts w:ascii="Times New Roman" w:hAnsi="Times New Roman" w:cs="Times New Roman"/>
          <w:bCs/>
          <w:sz w:val="24"/>
          <w:szCs w:val="24"/>
        </w:rPr>
        <w:t>combustibilili solizi, lichizi şi gazoşi ai produselor derivate</w:t>
      </w:r>
      <w:r w:rsidR="00127CAC" w:rsidRPr="00250C7F">
        <w:rPr>
          <w:rFonts w:ascii="Times New Roman" w:hAnsi="Times New Roman" w:cs="Times New Roman"/>
          <w:bCs/>
          <w:sz w:val="24"/>
          <w:szCs w:val="24"/>
        </w:rPr>
        <w:t xml:space="preserve"> </w:t>
      </w:r>
      <w:r w:rsidR="00127CAC" w:rsidRPr="00250C7F">
        <w:rPr>
          <w:rFonts w:ascii="Times New Roman" w:hAnsi="Times New Roman" w:cs="Times New Roman"/>
          <w:b/>
          <w:bCs/>
          <w:sz w:val="24"/>
          <w:szCs w:val="24"/>
        </w:rPr>
        <w:t>120</w:t>
      </w:r>
    </w:p>
    <w:p w14:paraId="73298FE2" w14:textId="786AA455"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competenţa Direcţiei Naţionale Anticorupţie</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193</w:t>
      </w:r>
    </w:p>
    <w:p w14:paraId="1C81C1DF" w14:textId="12320A17"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componentă variabilă a remuneraţiei</w:t>
      </w:r>
      <w:r w:rsidR="009178B0" w:rsidRPr="00250C7F">
        <w:rPr>
          <w:rFonts w:ascii="Times New Roman" w:hAnsi="Times New Roman" w:cs="Times New Roman"/>
          <w:sz w:val="24"/>
          <w:szCs w:val="24"/>
        </w:rPr>
        <w:t xml:space="preserve"> </w:t>
      </w:r>
      <w:r w:rsidR="009178B0" w:rsidRPr="00250C7F">
        <w:rPr>
          <w:rFonts w:ascii="Times New Roman" w:hAnsi="Times New Roman" w:cs="Times New Roman"/>
          <w:b/>
          <w:bCs/>
          <w:sz w:val="24"/>
          <w:szCs w:val="24"/>
        </w:rPr>
        <w:t>98</w:t>
      </w:r>
    </w:p>
    <w:p w14:paraId="38F749B9" w14:textId="23E2B108"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comunicare</w:t>
      </w:r>
      <w:r w:rsidR="002E7C20" w:rsidRPr="00250C7F">
        <w:rPr>
          <w:rFonts w:ascii="Times New Roman" w:hAnsi="Times New Roman" w:cs="Times New Roman"/>
          <w:sz w:val="24"/>
          <w:szCs w:val="24"/>
        </w:rPr>
        <w:t xml:space="preserve"> </w:t>
      </w:r>
      <w:r w:rsidR="002E7C20" w:rsidRPr="00250C7F">
        <w:rPr>
          <w:rFonts w:ascii="Times New Roman" w:hAnsi="Times New Roman" w:cs="Times New Roman"/>
          <w:b/>
          <w:sz w:val="24"/>
          <w:szCs w:val="24"/>
        </w:rPr>
        <w:t>108</w:t>
      </w:r>
    </w:p>
    <w:p w14:paraId="35CBEDA6" w14:textId="53D798B4" w:rsidR="00174050" w:rsidRPr="00250C7F" w:rsidRDefault="00174050"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competenţă teritorială alternativă</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158</w:t>
      </w:r>
    </w:p>
    <w:p w14:paraId="01D42384" w14:textId="7B288CD3" w:rsidR="004A17EB" w:rsidRPr="00250C7F" w:rsidRDefault="004A17EB" w:rsidP="003446ED">
      <w:pPr>
        <w:spacing w:after="0" w:line="240" w:lineRule="auto"/>
        <w:rPr>
          <w:rFonts w:ascii="Times New Roman" w:hAnsi="Times New Roman" w:cs="Times New Roman"/>
          <w:b/>
          <w:sz w:val="24"/>
          <w:szCs w:val="24"/>
        </w:rPr>
      </w:pPr>
      <w:r w:rsidRPr="00250C7F">
        <w:rPr>
          <w:rFonts w:ascii="Times New Roman" w:hAnsi="Times New Roman" w:cs="Times New Roman"/>
          <w:sz w:val="24"/>
          <w:szCs w:val="24"/>
        </w:rPr>
        <w:t>concordat preventiv</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188</w:t>
      </w:r>
    </w:p>
    <w:p w14:paraId="448FBF87" w14:textId="4481CD60" w:rsidR="00174050" w:rsidRPr="00250C7F" w:rsidRDefault="00174050" w:rsidP="003446ED">
      <w:pPr>
        <w:spacing w:after="0" w:line="240" w:lineRule="auto"/>
        <w:rPr>
          <w:rFonts w:ascii="Times New Roman" w:hAnsi="Times New Roman" w:cs="Times New Roman"/>
          <w:b/>
          <w:sz w:val="24"/>
          <w:szCs w:val="24"/>
        </w:rPr>
      </w:pPr>
      <w:r w:rsidRPr="00250C7F">
        <w:rPr>
          <w:rFonts w:ascii="Times New Roman" w:hAnsi="Times New Roman" w:cs="Times New Roman"/>
          <w:sz w:val="24"/>
          <w:szCs w:val="24"/>
        </w:rPr>
        <w:t>conflict negativ</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158</w:t>
      </w:r>
    </w:p>
    <w:p w14:paraId="4263223F" w14:textId="6925AE1D"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 xml:space="preserve">consiliul </w:t>
      </w:r>
      <w:r w:rsidR="00174050" w:rsidRPr="00250C7F">
        <w:rPr>
          <w:rFonts w:ascii="Times New Roman" w:hAnsi="Times New Roman" w:cs="Times New Roman"/>
          <w:sz w:val="24"/>
          <w:szCs w:val="24"/>
        </w:rPr>
        <w:t>baroului</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22</w:t>
      </w:r>
    </w:p>
    <w:p w14:paraId="70259391" w14:textId="35583CEB"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consiliul UNBR</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22</w:t>
      </w:r>
    </w:p>
    <w:p w14:paraId="57E92FBD" w14:textId="00B5B0F6" w:rsidR="00174050" w:rsidRPr="00250C7F" w:rsidRDefault="00174050"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consumator</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158</w:t>
      </w:r>
    </w:p>
    <w:p w14:paraId="6C9B19DC" w14:textId="5CC9EAA5" w:rsidR="004A17EB" w:rsidRPr="00250C7F" w:rsidRDefault="002E7C20"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 xml:space="preserve">contestaţie </w:t>
      </w:r>
      <w:r w:rsidRPr="00250C7F">
        <w:rPr>
          <w:rFonts w:ascii="Times New Roman" w:hAnsi="Times New Roman" w:cs="Times New Roman"/>
          <w:b/>
          <w:sz w:val="24"/>
          <w:szCs w:val="24"/>
        </w:rPr>
        <w:t>108</w:t>
      </w:r>
      <w:r w:rsidR="00442818" w:rsidRPr="00250C7F">
        <w:rPr>
          <w:rFonts w:ascii="Times New Roman" w:hAnsi="Times New Roman" w:cs="Times New Roman"/>
          <w:b/>
          <w:sz w:val="24"/>
          <w:szCs w:val="24"/>
        </w:rPr>
        <w:t>; 201</w:t>
      </w:r>
    </w:p>
    <w:p w14:paraId="5F0A5680" w14:textId="514133B9" w:rsidR="002A23D1" w:rsidRPr="00250C7F" w:rsidRDefault="002A23D1"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contract de asistenţă juridică</w:t>
      </w:r>
      <w:r w:rsidR="00B562F5" w:rsidRPr="00250C7F">
        <w:rPr>
          <w:rFonts w:ascii="Times New Roman" w:hAnsi="Times New Roman" w:cs="Times New Roman"/>
          <w:sz w:val="24"/>
          <w:szCs w:val="24"/>
        </w:rPr>
        <w:t xml:space="preserve"> </w:t>
      </w:r>
      <w:r w:rsidR="00B562F5" w:rsidRPr="00250C7F">
        <w:rPr>
          <w:rFonts w:ascii="Times New Roman" w:hAnsi="Times New Roman" w:cs="Times New Roman"/>
          <w:b/>
          <w:bCs/>
          <w:sz w:val="24"/>
          <w:szCs w:val="24"/>
        </w:rPr>
        <w:t>65</w:t>
      </w:r>
    </w:p>
    <w:p w14:paraId="153BF440" w14:textId="1A188881"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 xml:space="preserve">contract de mandat </w:t>
      </w:r>
      <w:r w:rsidR="00F60214" w:rsidRPr="00250C7F">
        <w:rPr>
          <w:rFonts w:ascii="Times New Roman" w:hAnsi="Times New Roman" w:cs="Times New Roman"/>
          <w:b/>
          <w:bCs/>
          <w:sz w:val="24"/>
          <w:szCs w:val="24"/>
        </w:rPr>
        <w:t xml:space="preserve">85; </w:t>
      </w:r>
      <w:r w:rsidR="009178B0" w:rsidRPr="00250C7F">
        <w:rPr>
          <w:rFonts w:ascii="Times New Roman" w:hAnsi="Times New Roman" w:cs="Times New Roman"/>
          <w:b/>
          <w:bCs/>
          <w:sz w:val="24"/>
          <w:szCs w:val="24"/>
        </w:rPr>
        <w:t>98</w:t>
      </w:r>
    </w:p>
    <w:p w14:paraId="3A396EC4" w14:textId="16FDA9FB" w:rsidR="003446ED" w:rsidRPr="00250C7F" w:rsidRDefault="003446ED" w:rsidP="003446ED">
      <w:pPr>
        <w:spacing w:after="0" w:line="240" w:lineRule="auto"/>
        <w:rPr>
          <w:rFonts w:ascii="Times New Roman" w:hAnsi="Times New Roman" w:cs="Times New Roman"/>
          <w:sz w:val="24"/>
          <w:szCs w:val="24"/>
        </w:rPr>
      </w:pPr>
      <w:r w:rsidRPr="00250C7F">
        <w:rPr>
          <w:rFonts w:ascii="Times New Roman" w:hAnsi="Times New Roman" w:cs="Times New Roman"/>
          <w:bCs/>
          <w:sz w:val="24"/>
          <w:szCs w:val="24"/>
        </w:rPr>
        <w:t xml:space="preserve">cotă obligatorie de achiziţie </w:t>
      </w:r>
      <w:r w:rsidRPr="00250C7F">
        <w:rPr>
          <w:rFonts w:ascii="Times New Roman" w:hAnsi="Times New Roman" w:cs="Times New Roman"/>
          <w:b/>
          <w:sz w:val="24"/>
          <w:szCs w:val="24"/>
        </w:rPr>
        <w:t>3</w:t>
      </w:r>
    </w:p>
    <w:p w14:paraId="3F3D072B" w14:textId="77777777" w:rsidR="004A17EB" w:rsidRPr="00250C7F" w:rsidRDefault="004A17EB" w:rsidP="003446ED">
      <w:pPr>
        <w:spacing w:after="0" w:line="240" w:lineRule="auto"/>
        <w:rPr>
          <w:rFonts w:ascii="Times New Roman" w:hAnsi="Times New Roman" w:cs="Times New Roman"/>
          <w:sz w:val="24"/>
          <w:szCs w:val="24"/>
        </w:rPr>
      </w:pPr>
    </w:p>
    <w:p w14:paraId="2348E3CD" w14:textId="320583E2"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D</w:t>
      </w:r>
      <w:r w:rsidRPr="00250C7F">
        <w:rPr>
          <w:rFonts w:ascii="Times New Roman" w:hAnsi="Times New Roman" w:cs="Times New Roman"/>
          <w:sz w:val="24"/>
          <w:szCs w:val="24"/>
        </w:rPr>
        <w:t>aune-interese moratorii</w:t>
      </w:r>
      <w:r w:rsidR="00414E75" w:rsidRPr="00250C7F">
        <w:rPr>
          <w:rFonts w:ascii="Times New Roman" w:hAnsi="Times New Roman" w:cs="Times New Roman"/>
          <w:sz w:val="24"/>
          <w:szCs w:val="24"/>
        </w:rPr>
        <w:t xml:space="preserve"> </w:t>
      </w:r>
      <w:r w:rsidR="00414E75" w:rsidRPr="00250C7F">
        <w:rPr>
          <w:rFonts w:ascii="Times New Roman" w:hAnsi="Times New Roman" w:cs="Times New Roman"/>
          <w:b/>
          <w:bCs/>
          <w:sz w:val="24"/>
          <w:szCs w:val="24"/>
        </w:rPr>
        <w:t>88</w:t>
      </w:r>
    </w:p>
    <w:p w14:paraId="1AFDB715" w14:textId="064EA4FE" w:rsidR="002E5FA6" w:rsidRPr="00250C7F" w:rsidRDefault="002E5FA6"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despăgubiri morale</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40; 48; 55</w:t>
      </w:r>
    </w:p>
    <w:p w14:paraId="3E57E785" w14:textId="4EAA9356"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diferenţe de curs valutar</w:t>
      </w:r>
      <w:r w:rsidR="002E7C20" w:rsidRPr="00250C7F">
        <w:rPr>
          <w:rFonts w:ascii="Times New Roman" w:hAnsi="Times New Roman" w:cs="Times New Roman"/>
          <w:sz w:val="24"/>
          <w:szCs w:val="24"/>
        </w:rPr>
        <w:t xml:space="preserve"> </w:t>
      </w:r>
      <w:r w:rsidR="002E7C20" w:rsidRPr="00250C7F">
        <w:rPr>
          <w:rFonts w:ascii="Times New Roman" w:hAnsi="Times New Roman" w:cs="Times New Roman"/>
          <w:b/>
          <w:sz w:val="24"/>
          <w:szCs w:val="24"/>
        </w:rPr>
        <w:t>114</w:t>
      </w:r>
    </w:p>
    <w:p w14:paraId="4D59AE0F" w14:textId="28898D6A"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 xml:space="preserve">dobânzi </w:t>
      </w:r>
      <w:r w:rsidR="002E7C20" w:rsidRPr="00250C7F">
        <w:rPr>
          <w:rFonts w:ascii="Times New Roman" w:hAnsi="Times New Roman" w:cs="Times New Roman"/>
          <w:b/>
          <w:sz w:val="24"/>
          <w:szCs w:val="24"/>
        </w:rPr>
        <w:t>114</w:t>
      </w:r>
    </w:p>
    <w:p w14:paraId="1FF229C6" w14:textId="0B055931" w:rsidR="00AD3D0A" w:rsidRPr="00250C7F" w:rsidRDefault="00AD3D0A"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lastRenderedPageBreak/>
        <w:t>drept de proprietate</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55</w:t>
      </w:r>
    </w:p>
    <w:p w14:paraId="04776000" w14:textId="2187CF8C"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drept de şedere pe termen lung</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34</w:t>
      </w:r>
    </w:p>
    <w:p w14:paraId="69339DD0" w14:textId="362AAA8A" w:rsidR="00894830" w:rsidRPr="00250C7F" w:rsidRDefault="00894830" w:rsidP="003446ED">
      <w:pPr>
        <w:spacing w:after="0" w:line="240" w:lineRule="auto"/>
        <w:rPr>
          <w:rFonts w:ascii="Times New Roman" w:hAnsi="Times New Roman" w:cs="Times New Roman"/>
          <w:b/>
          <w:sz w:val="24"/>
          <w:szCs w:val="24"/>
        </w:rPr>
      </w:pPr>
      <w:r w:rsidRPr="00250C7F">
        <w:rPr>
          <w:rFonts w:ascii="Times New Roman" w:hAnsi="Times New Roman" w:cs="Times New Roman"/>
          <w:sz w:val="24"/>
          <w:szCs w:val="24"/>
        </w:rPr>
        <w:t>dreptul la apărare</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161</w:t>
      </w:r>
    </w:p>
    <w:p w14:paraId="7B861A09" w14:textId="2E43BFF2" w:rsidR="00AD3D0A" w:rsidRPr="00250C7F" w:rsidRDefault="00AD3D0A"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dreptul la viața privată</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40</w:t>
      </w:r>
    </w:p>
    <w:p w14:paraId="1697AD99" w14:textId="7EE8BEA9" w:rsidR="004A17EB" w:rsidRPr="00250C7F" w:rsidRDefault="004A17EB" w:rsidP="003446ED">
      <w:pPr>
        <w:spacing w:after="0" w:line="240" w:lineRule="auto"/>
        <w:rPr>
          <w:rFonts w:ascii="Times New Roman" w:hAnsi="Times New Roman" w:cs="Times New Roman"/>
          <w:sz w:val="24"/>
          <w:szCs w:val="24"/>
        </w:rPr>
      </w:pPr>
    </w:p>
    <w:p w14:paraId="41E76822" w14:textId="5CC01765" w:rsidR="003446ED" w:rsidRPr="00250C7F" w:rsidRDefault="003446ED" w:rsidP="003446ED">
      <w:pPr>
        <w:spacing w:after="0" w:line="240" w:lineRule="auto"/>
        <w:rPr>
          <w:rFonts w:ascii="Times New Roman" w:hAnsi="Times New Roman" w:cs="Times New Roman"/>
          <w:b/>
          <w:sz w:val="24"/>
          <w:szCs w:val="24"/>
        </w:rPr>
      </w:pPr>
      <w:r w:rsidRPr="00250C7F">
        <w:rPr>
          <w:rFonts w:ascii="Times New Roman" w:hAnsi="Times New Roman" w:cs="Times New Roman"/>
          <w:b/>
          <w:sz w:val="24"/>
          <w:szCs w:val="24"/>
        </w:rPr>
        <w:t>E</w:t>
      </w:r>
      <w:r w:rsidRPr="00250C7F">
        <w:rPr>
          <w:rFonts w:ascii="Times New Roman" w:hAnsi="Times New Roman" w:cs="Times New Roman"/>
          <w:sz w:val="24"/>
          <w:szCs w:val="24"/>
        </w:rPr>
        <w:t xml:space="preserve">fectul pozitiv al lucrului judecat </w:t>
      </w:r>
      <w:r w:rsidRPr="00250C7F">
        <w:rPr>
          <w:rFonts w:ascii="Times New Roman" w:hAnsi="Times New Roman" w:cs="Times New Roman"/>
          <w:b/>
          <w:sz w:val="24"/>
          <w:szCs w:val="24"/>
        </w:rPr>
        <w:t>3</w:t>
      </w:r>
    </w:p>
    <w:p w14:paraId="504E58E1" w14:textId="5D1619AD" w:rsidR="003446ED" w:rsidRPr="00250C7F" w:rsidRDefault="00EE502A" w:rsidP="003446ED">
      <w:p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3446ED" w:rsidRPr="00250C7F">
        <w:rPr>
          <w:rFonts w:ascii="Times New Roman" w:hAnsi="Times New Roman" w:cs="Times New Roman"/>
          <w:sz w:val="24"/>
          <w:szCs w:val="24"/>
        </w:rPr>
        <w:t xml:space="preserve">xcepţia lipsei calităţii procesuale pasive </w:t>
      </w:r>
      <w:r w:rsidR="003446ED" w:rsidRPr="00250C7F">
        <w:rPr>
          <w:rFonts w:ascii="Times New Roman" w:hAnsi="Times New Roman" w:cs="Times New Roman"/>
          <w:b/>
          <w:sz w:val="24"/>
          <w:szCs w:val="24"/>
        </w:rPr>
        <w:t>3</w:t>
      </w:r>
    </w:p>
    <w:p w14:paraId="1EA178FB" w14:textId="77777777" w:rsidR="003446ED" w:rsidRPr="00250C7F" w:rsidRDefault="003446ED" w:rsidP="003446ED">
      <w:pPr>
        <w:spacing w:after="0" w:line="240" w:lineRule="auto"/>
        <w:rPr>
          <w:rFonts w:ascii="Times New Roman" w:hAnsi="Times New Roman" w:cs="Times New Roman"/>
          <w:sz w:val="24"/>
          <w:szCs w:val="24"/>
        </w:rPr>
      </w:pPr>
    </w:p>
    <w:p w14:paraId="0AFE6B67" w14:textId="28F2135A"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F</w:t>
      </w:r>
      <w:r w:rsidRPr="00250C7F">
        <w:rPr>
          <w:rFonts w:ascii="Times New Roman" w:hAnsi="Times New Roman" w:cs="Times New Roman"/>
          <w:sz w:val="24"/>
          <w:szCs w:val="24"/>
        </w:rPr>
        <w:t>avorizarea făptuitorului</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136</w:t>
      </w:r>
    </w:p>
    <w:p w14:paraId="2AE7D229" w14:textId="77777777" w:rsidR="003446ED" w:rsidRPr="00250C7F" w:rsidRDefault="003446ED" w:rsidP="003446ED">
      <w:pPr>
        <w:spacing w:after="0" w:line="240" w:lineRule="auto"/>
        <w:rPr>
          <w:rFonts w:ascii="Times New Roman" w:hAnsi="Times New Roman" w:cs="Times New Roman"/>
          <w:sz w:val="24"/>
          <w:szCs w:val="24"/>
        </w:rPr>
      </w:pPr>
    </w:p>
    <w:p w14:paraId="5D6AFCA6" w14:textId="0E5041BB"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G</w:t>
      </w:r>
      <w:r w:rsidRPr="00250C7F">
        <w:rPr>
          <w:rFonts w:ascii="Times New Roman" w:hAnsi="Times New Roman" w:cs="Times New Roman"/>
          <w:sz w:val="24"/>
          <w:szCs w:val="24"/>
        </w:rPr>
        <w:t>rad de îndatorare</w:t>
      </w:r>
      <w:r w:rsidR="002E7C20" w:rsidRPr="00250C7F">
        <w:rPr>
          <w:rFonts w:ascii="Times New Roman" w:hAnsi="Times New Roman" w:cs="Times New Roman"/>
          <w:sz w:val="24"/>
          <w:szCs w:val="24"/>
        </w:rPr>
        <w:t xml:space="preserve"> </w:t>
      </w:r>
      <w:r w:rsidR="002E7C20" w:rsidRPr="00250C7F">
        <w:rPr>
          <w:rFonts w:ascii="Times New Roman" w:hAnsi="Times New Roman" w:cs="Times New Roman"/>
          <w:b/>
          <w:sz w:val="24"/>
          <w:szCs w:val="24"/>
        </w:rPr>
        <w:t>114</w:t>
      </w:r>
    </w:p>
    <w:p w14:paraId="6C6B48EA" w14:textId="77777777" w:rsidR="004A17EB" w:rsidRPr="00250C7F" w:rsidRDefault="004A17EB" w:rsidP="003446ED">
      <w:pPr>
        <w:spacing w:after="0" w:line="240" w:lineRule="auto"/>
        <w:rPr>
          <w:rFonts w:ascii="Times New Roman" w:hAnsi="Times New Roman" w:cs="Times New Roman"/>
          <w:sz w:val="24"/>
          <w:szCs w:val="24"/>
        </w:rPr>
      </w:pPr>
    </w:p>
    <w:p w14:paraId="6AD92653" w14:textId="6F685495"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H</w:t>
      </w:r>
      <w:r w:rsidRPr="00250C7F">
        <w:rPr>
          <w:rFonts w:ascii="Times New Roman" w:hAnsi="Times New Roman" w:cs="Times New Roman"/>
          <w:sz w:val="24"/>
          <w:szCs w:val="24"/>
        </w:rPr>
        <w:t>otărârea AGA</w:t>
      </w:r>
      <w:r w:rsidR="00F60214" w:rsidRPr="00250C7F">
        <w:rPr>
          <w:rFonts w:ascii="Times New Roman" w:hAnsi="Times New Roman" w:cs="Times New Roman"/>
          <w:sz w:val="24"/>
          <w:szCs w:val="24"/>
        </w:rPr>
        <w:t xml:space="preserve"> </w:t>
      </w:r>
      <w:r w:rsidR="00F60214" w:rsidRPr="00250C7F">
        <w:rPr>
          <w:rFonts w:ascii="Times New Roman" w:hAnsi="Times New Roman" w:cs="Times New Roman"/>
          <w:b/>
          <w:bCs/>
          <w:sz w:val="24"/>
          <w:szCs w:val="24"/>
        </w:rPr>
        <w:t>85</w:t>
      </w:r>
    </w:p>
    <w:p w14:paraId="27A03EF5" w14:textId="3C820CE8"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hotărâre a adunării generale a acţionarilor</w:t>
      </w:r>
      <w:r w:rsidR="009178B0" w:rsidRPr="00250C7F">
        <w:rPr>
          <w:rFonts w:ascii="Times New Roman" w:hAnsi="Times New Roman" w:cs="Times New Roman"/>
          <w:sz w:val="24"/>
          <w:szCs w:val="24"/>
        </w:rPr>
        <w:t xml:space="preserve"> </w:t>
      </w:r>
      <w:r w:rsidR="009178B0" w:rsidRPr="00250C7F">
        <w:rPr>
          <w:rFonts w:ascii="Times New Roman" w:hAnsi="Times New Roman" w:cs="Times New Roman"/>
          <w:b/>
          <w:bCs/>
          <w:sz w:val="24"/>
          <w:szCs w:val="24"/>
        </w:rPr>
        <w:t>93</w:t>
      </w:r>
    </w:p>
    <w:p w14:paraId="7FC9E051" w14:textId="77777777" w:rsidR="004A17EB" w:rsidRPr="00250C7F" w:rsidRDefault="004A17EB" w:rsidP="003446ED">
      <w:pPr>
        <w:spacing w:after="0" w:line="240" w:lineRule="auto"/>
        <w:rPr>
          <w:rFonts w:ascii="Times New Roman" w:hAnsi="Times New Roman" w:cs="Times New Roman"/>
          <w:sz w:val="24"/>
          <w:szCs w:val="24"/>
        </w:rPr>
      </w:pPr>
    </w:p>
    <w:p w14:paraId="7EAF76E3" w14:textId="696D693C"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I</w:t>
      </w:r>
      <w:r w:rsidRPr="00250C7F">
        <w:rPr>
          <w:rFonts w:ascii="Times New Roman" w:hAnsi="Times New Roman" w:cs="Times New Roman"/>
          <w:sz w:val="24"/>
          <w:szCs w:val="24"/>
        </w:rPr>
        <w:t>ncompatibilitate</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22</w:t>
      </w:r>
    </w:p>
    <w:p w14:paraId="2C70DF39" w14:textId="0A681449"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instigare la lipsire de libertate în mod ilegal</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145</w:t>
      </w:r>
    </w:p>
    <w:p w14:paraId="013051D2" w14:textId="4D8B2C54"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instigare la lovire sau alte violenţe</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145</w:t>
      </w:r>
    </w:p>
    <w:p w14:paraId="12F84182" w14:textId="77777777" w:rsidR="004A17EB" w:rsidRPr="00250C7F" w:rsidRDefault="004A17EB" w:rsidP="003446ED">
      <w:pPr>
        <w:spacing w:after="0" w:line="240" w:lineRule="auto"/>
        <w:rPr>
          <w:rFonts w:ascii="Times New Roman" w:hAnsi="Times New Roman" w:cs="Times New Roman"/>
          <w:sz w:val="24"/>
          <w:szCs w:val="24"/>
        </w:rPr>
      </w:pPr>
    </w:p>
    <w:p w14:paraId="58F5D1FF" w14:textId="3334E982" w:rsidR="004A17EB" w:rsidRPr="00250C7F" w:rsidRDefault="004A17EB" w:rsidP="003446ED">
      <w:pPr>
        <w:spacing w:after="0" w:line="240" w:lineRule="auto"/>
        <w:rPr>
          <w:rFonts w:ascii="Times New Roman" w:hAnsi="Times New Roman" w:cs="Times New Roman"/>
          <w:b/>
          <w:sz w:val="24"/>
          <w:szCs w:val="24"/>
        </w:rPr>
      </w:pPr>
      <w:r w:rsidRPr="00250C7F">
        <w:rPr>
          <w:rFonts w:ascii="Times New Roman" w:hAnsi="Times New Roman" w:cs="Times New Roman"/>
          <w:b/>
          <w:bCs/>
          <w:sz w:val="24"/>
          <w:szCs w:val="24"/>
        </w:rPr>
        <w:t>Î</w:t>
      </w:r>
      <w:r w:rsidRPr="00250C7F">
        <w:rPr>
          <w:rFonts w:ascii="Times New Roman" w:hAnsi="Times New Roman" w:cs="Times New Roman"/>
          <w:sz w:val="24"/>
          <w:szCs w:val="24"/>
        </w:rPr>
        <w:t>mprumut bancar</w:t>
      </w:r>
      <w:r w:rsidR="002E7C20" w:rsidRPr="00250C7F">
        <w:rPr>
          <w:rFonts w:ascii="Times New Roman" w:hAnsi="Times New Roman" w:cs="Times New Roman"/>
          <w:sz w:val="24"/>
          <w:szCs w:val="24"/>
        </w:rPr>
        <w:t xml:space="preserve"> </w:t>
      </w:r>
      <w:r w:rsidR="002E7C20" w:rsidRPr="00250C7F">
        <w:rPr>
          <w:rFonts w:ascii="Times New Roman" w:hAnsi="Times New Roman" w:cs="Times New Roman"/>
          <w:b/>
          <w:sz w:val="24"/>
          <w:szCs w:val="24"/>
        </w:rPr>
        <w:t>114</w:t>
      </w:r>
    </w:p>
    <w:p w14:paraId="6985FF32" w14:textId="7B3A2CB8"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înregistrări privind propriile convorbiri sau comunicări</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196</w:t>
      </w:r>
    </w:p>
    <w:p w14:paraId="04852727" w14:textId="77777777" w:rsidR="004A17EB" w:rsidRPr="00250C7F" w:rsidRDefault="004A17EB" w:rsidP="003446ED">
      <w:pPr>
        <w:spacing w:after="0" w:line="240" w:lineRule="auto"/>
        <w:rPr>
          <w:rFonts w:ascii="Times New Roman" w:hAnsi="Times New Roman" w:cs="Times New Roman"/>
          <w:sz w:val="24"/>
          <w:szCs w:val="24"/>
        </w:rPr>
      </w:pPr>
    </w:p>
    <w:p w14:paraId="38A939CD" w14:textId="245F0B54"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J</w:t>
      </w:r>
      <w:r w:rsidRPr="00250C7F">
        <w:rPr>
          <w:rFonts w:ascii="Times New Roman" w:hAnsi="Times New Roman" w:cs="Times New Roman"/>
          <w:sz w:val="24"/>
          <w:szCs w:val="24"/>
        </w:rPr>
        <w:t>udecător</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22</w:t>
      </w:r>
    </w:p>
    <w:p w14:paraId="6D425DBE" w14:textId="77777777" w:rsidR="003446ED" w:rsidRPr="00250C7F" w:rsidRDefault="003446ED" w:rsidP="003446ED">
      <w:pPr>
        <w:spacing w:after="0" w:line="240" w:lineRule="auto"/>
        <w:rPr>
          <w:rFonts w:ascii="Times New Roman" w:hAnsi="Times New Roman" w:cs="Times New Roman"/>
          <w:sz w:val="24"/>
          <w:szCs w:val="24"/>
        </w:rPr>
      </w:pPr>
    </w:p>
    <w:p w14:paraId="4F1B43B7" w14:textId="1B583DAE" w:rsidR="004A17EB" w:rsidRPr="00250C7F" w:rsidRDefault="004A17EB" w:rsidP="003446ED">
      <w:pPr>
        <w:spacing w:after="0" w:line="240" w:lineRule="auto"/>
        <w:rPr>
          <w:rFonts w:ascii="Times New Roman" w:hAnsi="Times New Roman" w:cs="Times New Roman"/>
          <w:b/>
          <w:sz w:val="24"/>
          <w:szCs w:val="24"/>
        </w:rPr>
      </w:pPr>
      <w:r w:rsidRPr="00250C7F">
        <w:rPr>
          <w:rFonts w:ascii="Times New Roman" w:hAnsi="Times New Roman" w:cs="Times New Roman"/>
          <w:b/>
          <w:bCs/>
          <w:sz w:val="24"/>
          <w:szCs w:val="24"/>
        </w:rPr>
        <w:t>L</w:t>
      </w:r>
      <w:r w:rsidRPr="00250C7F">
        <w:rPr>
          <w:rFonts w:ascii="Times New Roman" w:hAnsi="Times New Roman" w:cs="Times New Roman"/>
          <w:sz w:val="24"/>
          <w:szCs w:val="24"/>
        </w:rPr>
        <w:t>egea aplicabilă</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188</w:t>
      </w:r>
    </w:p>
    <w:p w14:paraId="64019FF1" w14:textId="3EB7A21B"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libertatea de circulaţie</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34</w:t>
      </w:r>
    </w:p>
    <w:p w14:paraId="1A0D166F" w14:textId="77777777" w:rsidR="004A17EB" w:rsidRPr="00250C7F" w:rsidRDefault="004A17EB" w:rsidP="003446ED">
      <w:pPr>
        <w:spacing w:after="0" w:line="240" w:lineRule="auto"/>
        <w:rPr>
          <w:rFonts w:ascii="Times New Roman" w:hAnsi="Times New Roman" w:cs="Times New Roman"/>
          <w:sz w:val="24"/>
          <w:szCs w:val="24"/>
        </w:rPr>
      </w:pPr>
    </w:p>
    <w:p w14:paraId="7E464350" w14:textId="0A924505" w:rsidR="00AD3D0A"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b/>
          <w:bCs/>
          <w:sz w:val="24"/>
          <w:szCs w:val="24"/>
        </w:rPr>
        <w:t>M</w:t>
      </w:r>
      <w:r w:rsidR="00AD3D0A" w:rsidRPr="00250C7F">
        <w:rPr>
          <w:rFonts w:ascii="Times New Roman" w:hAnsi="Times New Roman" w:cs="Times New Roman"/>
          <w:sz w:val="24"/>
          <w:szCs w:val="24"/>
        </w:rPr>
        <w:t>arcă combinată</w:t>
      </w:r>
      <w:r w:rsidR="00B562F5" w:rsidRPr="00250C7F">
        <w:rPr>
          <w:rFonts w:ascii="Times New Roman" w:hAnsi="Times New Roman" w:cs="Times New Roman"/>
          <w:sz w:val="24"/>
          <w:szCs w:val="24"/>
        </w:rPr>
        <w:t xml:space="preserve"> </w:t>
      </w:r>
      <w:r w:rsidR="00B562F5" w:rsidRPr="00250C7F">
        <w:rPr>
          <w:rFonts w:ascii="Times New Roman" w:hAnsi="Times New Roman" w:cs="Times New Roman"/>
          <w:b/>
          <w:bCs/>
          <w:sz w:val="24"/>
          <w:szCs w:val="24"/>
        </w:rPr>
        <w:t>70</w:t>
      </w:r>
    </w:p>
    <w:p w14:paraId="448667A9" w14:textId="54E0374C" w:rsidR="00514804" w:rsidRPr="00250C7F" w:rsidRDefault="00AD3D0A"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m</w:t>
      </w:r>
      <w:r w:rsidR="00514804" w:rsidRPr="00250C7F">
        <w:rPr>
          <w:rFonts w:ascii="Times New Roman" w:hAnsi="Times New Roman" w:cs="Times New Roman"/>
          <w:sz w:val="24"/>
          <w:szCs w:val="24"/>
        </w:rPr>
        <w:t>ăsură privativă de libertate</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40</w:t>
      </w:r>
    </w:p>
    <w:p w14:paraId="0322554D" w14:textId="7E5DEE40" w:rsidR="004A17EB" w:rsidRPr="00250C7F" w:rsidRDefault="00514804"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m</w:t>
      </w:r>
      <w:r w:rsidR="004A17EB" w:rsidRPr="00250C7F">
        <w:rPr>
          <w:rFonts w:ascii="Times New Roman" w:hAnsi="Times New Roman" w:cs="Times New Roman"/>
          <w:sz w:val="24"/>
          <w:szCs w:val="24"/>
        </w:rPr>
        <w:t>embru al consiliului de administraţie</w:t>
      </w:r>
      <w:r w:rsidR="00F60214" w:rsidRPr="00250C7F">
        <w:rPr>
          <w:rFonts w:ascii="Times New Roman" w:hAnsi="Times New Roman" w:cs="Times New Roman"/>
          <w:sz w:val="24"/>
          <w:szCs w:val="24"/>
        </w:rPr>
        <w:t xml:space="preserve"> </w:t>
      </w:r>
      <w:r w:rsidR="00F60214" w:rsidRPr="00250C7F">
        <w:rPr>
          <w:rFonts w:ascii="Times New Roman" w:hAnsi="Times New Roman" w:cs="Times New Roman"/>
          <w:b/>
          <w:bCs/>
          <w:sz w:val="24"/>
          <w:szCs w:val="24"/>
        </w:rPr>
        <w:t>85</w:t>
      </w:r>
    </w:p>
    <w:p w14:paraId="748A0535" w14:textId="55DF13C3" w:rsidR="003446ED" w:rsidRPr="00250C7F" w:rsidRDefault="003446ED" w:rsidP="003446ED">
      <w:pPr>
        <w:spacing w:after="0" w:line="240" w:lineRule="auto"/>
        <w:rPr>
          <w:rFonts w:ascii="Times New Roman" w:hAnsi="Times New Roman" w:cs="Times New Roman"/>
          <w:sz w:val="24"/>
          <w:szCs w:val="24"/>
        </w:rPr>
      </w:pPr>
      <w:r w:rsidRPr="00250C7F">
        <w:rPr>
          <w:rFonts w:ascii="Times New Roman" w:hAnsi="Times New Roman" w:cs="Times New Roman"/>
          <w:bCs/>
          <w:sz w:val="24"/>
          <w:szCs w:val="24"/>
        </w:rPr>
        <w:t xml:space="preserve">Monitorul Oficial </w:t>
      </w:r>
      <w:r w:rsidRPr="00250C7F">
        <w:rPr>
          <w:rFonts w:ascii="Times New Roman" w:hAnsi="Times New Roman" w:cs="Times New Roman"/>
          <w:b/>
          <w:sz w:val="24"/>
          <w:szCs w:val="24"/>
        </w:rPr>
        <w:t>3</w:t>
      </w:r>
    </w:p>
    <w:p w14:paraId="572F2E8F" w14:textId="00510531"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 xml:space="preserve">motivare </w:t>
      </w:r>
      <w:r w:rsidR="00CE5011" w:rsidRPr="00250C7F">
        <w:rPr>
          <w:rFonts w:ascii="Times New Roman" w:hAnsi="Times New Roman" w:cs="Times New Roman"/>
          <w:b/>
          <w:bCs/>
          <w:sz w:val="24"/>
          <w:szCs w:val="24"/>
        </w:rPr>
        <w:t>34</w:t>
      </w:r>
    </w:p>
    <w:p w14:paraId="273E61AA" w14:textId="77777777" w:rsidR="004A17EB" w:rsidRPr="00250C7F" w:rsidRDefault="004A17EB" w:rsidP="003446ED">
      <w:pPr>
        <w:spacing w:after="0" w:line="240" w:lineRule="auto"/>
        <w:rPr>
          <w:rFonts w:ascii="Times New Roman" w:hAnsi="Times New Roman" w:cs="Times New Roman"/>
          <w:sz w:val="24"/>
          <w:szCs w:val="24"/>
        </w:rPr>
      </w:pPr>
    </w:p>
    <w:p w14:paraId="5091FE0F" w14:textId="4CF26C91" w:rsidR="00ED4FEB" w:rsidRPr="00250C7F" w:rsidRDefault="004A17EB" w:rsidP="003446ED">
      <w:pPr>
        <w:spacing w:after="0" w:line="240" w:lineRule="auto"/>
        <w:rPr>
          <w:rFonts w:ascii="Times New Roman" w:hAnsi="Times New Roman" w:cs="Times New Roman"/>
          <w:bCs/>
          <w:sz w:val="24"/>
          <w:szCs w:val="24"/>
        </w:rPr>
      </w:pPr>
      <w:r w:rsidRPr="00250C7F">
        <w:rPr>
          <w:rFonts w:ascii="Times New Roman" w:hAnsi="Times New Roman" w:cs="Times New Roman"/>
          <w:b/>
          <w:bCs/>
          <w:sz w:val="24"/>
          <w:szCs w:val="24"/>
        </w:rPr>
        <w:t>N</w:t>
      </w:r>
      <w:r w:rsidR="00ED4FEB" w:rsidRPr="00250C7F">
        <w:rPr>
          <w:rFonts w:ascii="Times New Roman" w:hAnsi="Times New Roman" w:cs="Times New Roman"/>
          <w:bCs/>
          <w:sz w:val="24"/>
          <w:szCs w:val="24"/>
        </w:rPr>
        <w:t>orme metodologice de aplicare a Codului fiscal</w:t>
      </w:r>
      <w:r w:rsidR="00127CAC" w:rsidRPr="00250C7F">
        <w:rPr>
          <w:rFonts w:ascii="Times New Roman" w:hAnsi="Times New Roman" w:cs="Times New Roman"/>
          <w:bCs/>
          <w:sz w:val="24"/>
          <w:szCs w:val="24"/>
        </w:rPr>
        <w:t xml:space="preserve"> </w:t>
      </w:r>
      <w:r w:rsidR="00127CAC" w:rsidRPr="00250C7F">
        <w:rPr>
          <w:rFonts w:ascii="Times New Roman" w:hAnsi="Times New Roman" w:cs="Times New Roman"/>
          <w:b/>
          <w:bCs/>
          <w:sz w:val="24"/>
          <w:szCs w:val="24"/>
        </w:rPr>
        <w:t>120</w:t>
      </w:r>
    </w:p>
    <w:p w14:paraId="1F0C5B44" w14:textId="73A4D5C2" w:rsidR="00894830" w:rsidRPr="00250C7F" w:rsidRDefault="00EE502A" w:rsidP="003446ED">
      <w:pPr>
        <w:spacing w:after="0" w:line="240" w:lineRule="auto"/>
        <w:rPr>
          <w:rFonts w:ascii="Times New Roman" w:hAnsi="Times New Roman" w:cs="Times New Roman"/>
          <w:b/>
          <w:bCs/>
          <w:sz w:val="24"/>
          <w:szCs w:val="24"/>
        </w:rPr>
      </w:pPr>
      <w:r>
        <w:rPr>
          <w:rFonts w:ascii="Times New Roman" w:hAnsi="Times New Roman" w:cs="Times New Roman"/>
          <w:bCs/>
          <w:sz w:val="24"/>
          <w:szCs w:val="24"/>
        </w:rPr>
        <w:t>n</w:t>
      </w:r>
      <w:r w:rsidR="00894830" w:rsidRPr="00250C7F">
        <w:rPr>
          <w:rFonts w:ascii="Times New Roman" w:hAnsi="Times New Roman" w:cs="Times New Roman"/>
          <w:sz w:val="24"/>
          <w:szCs w:val="24"/>
        </w:rPr>
        <w:t>ulitate</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161</w:t>
      </w:r>
    </w:p>
    <w:p w14:paraId="1F357FBE" w14:textId="15AD81D9" w:rsidR="004A17EB" w:rsidRPr="00250C7F" w:rsidRDefault="00894830"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n</w:t>
      </w:r>
      <w:r w:rsidR="004A17EB" w:rsidRPr="00250C7F">
        <w:rPr>
          <w:rFonts w:ascii="Times New Roman" w:hAnsi="Times New Roman" w:cs="Times New Roman"/>
          <w:sz w:val="24"/>
          <w:szCs w:val="24"/>
        </w:rPr>
        <w:t>ulitatea ordonanţei de redeschidere a urmăririi penale</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201</w:t>
      </w:r>
    </w:p>
    <w:p w14:paraId="62724C5A" w14:textId="0899499C"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nulitate relativă</w:t>
      </w:r>
      <w:r w:rsidR="00F60214" w:rsidRPr="00250C7F">
        <w:rPr>
          <w:rFonts w:ascii="Times New Roman" w:hAnsi="Times New Roman" w:cs="Times New Roman"/>
          <w:sz w:val="24"/>
          <w:szCs w:val="24"/>
        </w:rPr>
        <w:t xml:space="preserve"> </w:t>
      </w:r>
      <w:r w:rsidR="00F60214" w:rsidRPr="00250C7F">
        <w:rPr>
          <w:rFonts w:ascii="Times New Roman" w:hAnsi="Times New Roman" w:cs="Times New Roman"/>
          <w:b/>
          <w:bCs/>
          <w:sz w:val="24"/>
          <w:szCs w:val="24"/>
        </w:rPr>
        <w:t>85</w:t>
      </w:r>
      <w:r w:rsidR="00DD30B1" w:rsidRPr="00250C7F">
        <w:rPr>
          <w:rFonts w:ascii="Times New Roman" w:hAnsi="Times New Roman" w:cs="Times New Roman"/>
          <w:b/>
          <w:bCs/>
          <w:sz w:val="24"/>
          <w:szCs w:val="24"/>
        </w:rPr>
        <w:t xml:space="preserve">; </w:t>
      </w:r>
      <w:r w:rsidR="00DD30B1" w:rsidRPr="00250C7F">
        <w:rPr>
          <w:rFonts w:ascii="Times New Roman" w:hAnsi="Times New Roman" w:cs="Times New Roman"/>
          <w:b/>
          <w:sz w:val="24"/>
          <w:szCs w:val="24"/>
        </w:rPr>
        <w:t>170</w:t>
      </w:r>
    </w:p>
    <w:p w14:paraId="55E7F89A" w14:textId="3A73AC15"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nulitatea rechizitorului</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201</w:t>
      </w:r>
    </w:p>
    <w:p w14:paraId="06E863E0" w14:textId="78502840" w:rsidR="00AD3D0A" w:rsidRPr="00250C7F" w:rsidRDefault="00AD3D0A"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nume comercial</w:t>
      </w:r>
      <w:r w:rsidR="00B562F5" w:rsidRPr="00250C7F">
        <w:rPr>
          <w:rFonts w:ascii="Times New Roman" w:hAnsi="Times New Roman" w:cs="Times New Roman"/>
          <w:sz w:val="24"/>
          <w:szCs w:val="24"/>
        </w:rPr>
        <w:t xml:space="preserve"> </w:t>
      </w:r>
      <w:r w:rsidR="00B562F5" w:rsidRPr="00250C7F">
        <w:rPr>
          <w:rFonts w:ascii="Times New Roman" w:hAnsi="Times New Roman" w:cs="Times New Roman"/>
          <w:b/>
          <w:bCs/>
          <w:sz w:val="24"/>
          <w:szCs w:val="24"/>
        </w:rPr>
        <w:t>70</w:t>
      </w:r>
    </w:p>
    <w:p w14:paraId="0C7FA096" w14:textId="77777777" w:rsidR="004A17EB" w:rsidRPr="00250C7F" w:rsidRDefault="004A17EB" w:rsidP="003446ED">
      <w:pPr>
        <w:spacing w:after="0" w:line="240" w:lineRule="auto"/>
        <w:rPr>
          <w:rFonts w:ascii="Times New Roman" w:hAnsi="Times New Roman" w:cs="Times New Roman"/>
          <w:sz w:val="24"/>
          <w:szCs w:val="24"/>
        </w:rPr>
      </w:pPr>
    </w:p>
    <w:p w14:paraId="57320542" w14:textId="503B5411" w:rsidR="00D479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O</w:t>
      </w:r>
      <w:r w:rsidR="00D479EB" w:rsidRPr="00250C7F">
        <w:rPr>
          <w:rFonts w:ascii="Times New Roman" w:hAnsi="Times New Roman" w:cs="Times New Roman"/>
          <w:sz w:val="24"/>
          <w:szCs w:val="24"/>
        </w:rPr>
        <w:t>norariu</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158</w:t>
      </w:r>
    </w:p>
    <w:p w14:paraId="6A184A26" w14:textId="4716DE92" w:rsidR="00ED4FEB" w:rsidRPr="00250C7F" w:rsidRDefault="00ED4F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operatori economici</w:t>
      </w:r>
      <w:r w:rsidR="00127CAC" w:rsidRPr="00250C7F">
        <w:rPr>
          <w:rFonts w:ascii="Times New Roman" w:hAnsi="Times New Roman" w:cs="Times New Roman"/>
          <w:sz w:val="24"/>
          <w:szCs w:val="24"/>
        </w:rPr>
        <w:t xml:space="preserve"> </w:t>
      </w:r>
      <w:r w:rsidR="00127CAC" w:rsidRPr="00250C7F">
        <w:rPr>
          <w:rFonts w:ascii="Times New Roman" w:hAnsi="Times New Roman" w:cs="Times New Roman"/>
          <w:b/>
          <w:bCs/>
          <w:sz w:val="24"/>
          <w:szCs w:val="24"/>
        </w:rPr>
        <w:t>120</w:t>
      </w:r>
    </w:p>
    <w:p w14:paraId="174060B4" w14:textId="348148E0" w:rsidR="004A17EB" w:rsidRPr="00250C7F" w:rsidRDefault="00D479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o</w:t>
      </w:r>
      <w:r w:rsidR="004A17EB" w:rsidRPr="00250C7F">
        <w:rPr>
          <w:rFonts w:ascii="Times New Roman" w:hAnsi="Times New Roman" w:cs="Times New Roman"/>
          <w:sz w:val="24"/>
          <w:szCs w:val="24"/>
        </w:rPr>
        <w:t>rdine publică</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34</w:t>
      </w:r>
    </w:p>
    <w:p w14:paraId="45AD4542" w14:textId="77777777" w:rsidR="004A17EB" w:rsidRPr="00250C7F" w:rsidRDefault="004A17EB" w:rsidP="003446ED">
      <w:pPr>
        <w:spacing w:after="0" w:line="240" w:lineRule="auto"/>
        <w:rPr>
          <w:rFonts w:ascii="Times New Roman" w:hAnsi="Times New Roman" w:cs="Times New Roman"/>
          <w:sz w:val="24"/>
          <w:szCs w:val="24"/>
        </w:rPr>
      </w:pPr>
    </w:p>
    <w:p w14:paraId="2346D423" w14:textId="4A5E2515"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b/>
          <w:bCs/>
          <w:sz w:val="24"/>
          <w:szCs w:val="24"/>
        </w:rPr>
        <w:t>P</w:t>
      </w:r>
      <w:r w:rsidRPr="00250C7F">
        <w:rPr>
          <w:rFonts w:ascii="Times New Roman" w:hAnsi="Times New Roman" w:cs="Times New Roman"/>
          <w:sz w:val="24"/>
          <w:szCs w:val="24"/>
        </w:rPr>
        <w:t>enalităţi de întârziere</w:t>
      </w:r>
      <w:r w:rsidR="00414E75" w:rsidRPr="00250C7F">
        <w:rPr>
          <w:rFonts w:ascii="Times New Roman" w:hAnsi="Times New Roman" w:cs="Times New Roman"/>
          <w:sz w:val="24"/>
          <w:szCs w:val="24"/>
        </w:rPr>
        <w:t xml:space="preserve"> </w:t>
      </w:r>
      <w:r w:rsidR="00414E75" w:rsidRPr="00250C7F">
        <w:rPr>
          <w:rFonts w:ascii="Times New Roman" w:hAnsi="Times New Roman" w:cs="Times New Roman"/>
          <w:b/>
          <w:bCs/>
          <w:sz w:val="24"/>
          <w:szCs w:val="24"/>
        </w:rPr>
        <w:t>88</w:t>
      </w:r>
    </w:p>
    <w:p w14:paraId="33B31A4E" w14:textId="73F1E291" w:rsidR="002A23D1" w:rsidRPr="00250C7F" w:rsidRDefault="00EE502A" w:rsidP="003446ED">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2A23D1" w:rsidRPr="00250C7F">
        <w:rPr>
          <w:rFonts w:ascii="Times New Roman" w:hAnsi="Times New Roman" w:cs="Times New Roman"/>
          <w:sz w:val="24"/>
          <w:szCs w:val="24"/>
        </w:rPr>
        <w:t>rejudiciu</w:t>
      </w:r>
      <w:r w:rsidR="00B562F5" w:rsidRPr="00250C7F">
        <w:rPr>
          <w:rFonts w:ascii="Times New Roman" w:hAnsi="Times New Roman" w:cs="Times New Roman"/>
          <w:sz w:val="24"/>
          <w:szCs w:val="24"/>
        </w:rPr>
        <w:t xml:space="preserve"> </w:t>
      </w:r>
      <w:r w:rsidR="00B562F5" w:rsidRPr="00250C7F">
        <w:rPr>
          <w:rFonts w:ascii="Times New Roman" w:hAnsi="Times New Roman" w:cs="Times New Roman"/>
          <w:b/>
          <w:bCs/>
          <w:sz w:val="24"/>
          <w:szCs w:val="24"/>
        </w:rPr>
        <w:t>65</w:t>
      </w:r>
    </w:p>
    <w:p w14:paraId="3A2CFEFD" w14:textId="1F18FEAD" w:rsidR="003D0063" w:rsidRPr="00250C7F" w:rsidRDefault="003D0063"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principiul contradictorialităţii</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161;</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170</w:t>
      </w:r>
    </w:p>
    <w:p w14:paraId="483B5E20" w14:textId="2A42194C" w:rsidR="00ED4FEB" w:rsidRPr="00250C7F" w:rsidRDefault="00ED4F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principiile economiei de piaţă</w:t>
      </w:r>
      <w:r w:rsidR="00127CAC" w:rsidRPr="00250C7F">
        <w:rPr>
          <w:rFonts w:ascii="Times New Roman" w:hAnsi="Times New Roman" w:cs="Times New Roman"/>
          <w:sz w:val="24"/>
          <w:szCs w:val="24"/>
        </w:rPr>
        <w:t xml:space="preserve"> </w:t>
      </w:r>
      <w:r w:rsidR="00127CAC" w:rsidRPr="00250C7F">
        <w:rPr>
          <w:rFonts w:ascii="Times New Roman" w:hAnsi="Times New Roman" w:cs="Times New Roman"/>
          <w:b/>
          <w:bCs/>
          <w:sz w:val="24"/>
          <w:szCs w:val="24"/>
        </w:rPr>
        <w:t>120</w:t>
      </w:r>
    </w:p>
    <w:p w14:paraId="6E3A25BC" w14:textId="5BD889CE" w:rsidR="00ED4FEB" w:rsidRPr="00250C7F" w:rsidRDefault="00ED4F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principiul liberei concurenţe</w:t>
      </w:r>
      <w:r w:rsidR="00127CAC" w:rsidRPr="00250C7F">
        <w:rPr>
          <w:rFonts w:ascii="Times New Roman" w:hAnsi="Times New Roman" w:cs="Times New Roman"/>
          <w:sz w:val="24"/>
          <w:szCs w:val="24"/>
        </w:rPr>
        <w:t xml:space="preserve"> </w:t>
      </w:r>
      <w:r w:rsidR="00127CAC" w:rsidRPr="00250C7F">
        <w:rPr>
          <w:rFonts w:ascii="Times New Roman" w:hAnsi="Times New Roman" w:cs="Times New Roman"/>
          <w:b/>
          <w:bCs/>
          <w:sz w:val="24"/>
          <w:szCs w:val="24"/>
        </w:rPr>
        <w:t>120</w:t>
      </w:r>
    </w:p>
    <w:p w14:paraId="4FF65DFD" w14:textId="69F1DFD1" w:rsidR="00ED4FEB" w:rsidRPr="00250C7F" w:rsidRDefault="00ED4F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principiul nediscriminării</w:t>
      </w:r>
      <w:r w:rsidR="00127CAC" w:rsidRPr="00250C7F">
        <w:rPr>
          <w:rFonts w:ascii="Times New Roman" w:hAnsi="Times New Roman" w:cs="Times New Roman"/>
          <w:sz w:val="24"/>
          <w:szCs w:val="24"/>
        </w:rPr>
        <w:t xml:space="preserve"> </w:t>
      </w:r>
      <w:r w:rsidR="00127CAC" w:rsidRPr="00250C7F">
        <w:rPr>
          <w:rFonts w:ascii="Times New Roman" w:hAnsi="Times New Roman" w:cs="Times New Roman"/>
          <w:b/>
          <w:bCs/>
          <w:sz w:val="24"/>
          <w:szCs w:val="24"/>
        </w:rPr>
        <w:t>120</w:t>
      </w:r>
    </w:p>
    <w:p w14:paraId="0854D231" w14:textId="65D4E773" w:rsidR="002E5FA6" w:rsidRPr="00250C7F" w:rsidRDefault="002E5FA6"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privare nelegală de libertate</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48</w:t>
      </w:r>
    </w:p>
    <w:p w14:paraId="7F0C9105" w14:textId="569ABF04" w:rsidR="003D0063" w:rsidRPr="00250C7F" w:rsidRDefault="003D0063" w:rsidP="003446ED">
      <w:pPr>
        <w:spacing w:after="0" w:line="240" w:lineRule="auto"/>
        <w:rPr>
          <w:rFonts w:ascii="Times New Roman" w:hAnsi="Times New Roman" w:cs="Times New Roman"/>
          <w:b/>
          <w:sz w:val="24"/>
          <w:szCs w:val="24"/>
        </w:rPr>
      </w:pPr>
      <w:r w:rsidRPr="00250C7F">
        <w:rPr>
          <w:rFonts w:ascii="Times New Roman" w:hAnsi="Times New Roman" w:cs="Times New Roman"/>
          <w:sz w:val="24"/>
          <w:szCs w:val="24"/>
        </w:rPr>
        <w:lastRenderedPageBreak/>
        <w:t>procedură de citare</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170</w:t>
      </w:r>
    </w:p>
    <w:p w14:paraId="7E736BB5" w14:textId="4927BE46" w:rsidR="003D0063" w:rsidRPr="00250C7F" w:rsidRDefault="003D0063"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proces echitabil</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170</w:t>
      </w:r>
    </w:p>
    <w:p w14:paraId="1B53599D" w14:textId="273027BD" w:rsidR="00ED4FEB" w:rsidRPr="00250C7F" w:rsidRDefault="00ED4F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produse energetice şi electricitate</w:t>
      </w:r>
      <w:r w:rsidR="00127CAC" w:rsidRPr="00250C7F">
        <w:rPr>
          <w:rFonts w:ascii="Times New Roman" w:hAnsi="Times New Roman" w:cs="Times New Roman"/>
          <w:sz w:val="24"/>
          <w:szCs w:val="24"/>
        </w:rPr>
        <w:t xml:space="preserve"> </w:t>
      </w:r>
      <w:r w:rsidR="00127CAC" w:rsidRPr="00250C7F">
        <w:rPr>
          <w:rFonts w:ascii="Times New Roman" w:hAnsi="Times New Roman" w:cs="Times New Roman"/>
          <w:b/>
          <w:bCs/>
          <w:sz w:val="24"/>
          <w:szCs w:val="24"/>
        </w:rPr>
        <w:t>120</w:t>
      </w:r>
    </w:p>
    <w:p w14:paraId="6F45106A" w14:textId="115A912A"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publicitate</w:t>
      </w:r>
      <w:r w:rsidR="002E7C20" w:rsidRPr="00250C7F">
        <w:rPr>
          <w:rFonts w:ascii="Times New Roman" w:hAnsi="Times New Roman" w:cs="Times New Roman"/>
          <w:sz w:val="24"/>
          <w:szCs w:val="24"/>
        </w:rPr>
        <w:t xml:space="preserve"> </w:t>
      </w:r>
      <w:r w:rsidR="002E7C20" w:rsidRPr="00250C7F">
        <w:rPr>
          <w:rFonts w:ascii="Times New Roman" w:hAnsi="Times New Roman" w:cs="Times New Roman"/>
          <w:b/>
          <w:sz w:val="24"/>
          <w:szCs w:val="24"/>
        </w:rPr>
        <w:t>108</w:t>
      </w:r>
    </w:p>
    <w:p w14:paraId="1BD2065E" w14:textId="4FCA023F" w:rsidR="00D479EB" w:rsidRPr="00250C7F" w:rsidRDefault="00D479EB" w:rsidP="003446ED">
      <w:pPr>
        <w:spacing w:after="0" w:line="240" w:lineRule="auto"/>
        <w:rPr>
          <w:rFonts w:ascii="Times New Roman" w:hAnsi="Times New Roman" w:cs="Times New Roman"/>
          <w:sz w:val="24"/>
          <w:szCs w:val="24"/>
        </w:rPr>
      </w:pPr>
    </w:p>
    <w:p w14:paraId="430F238B" w14:textId="06EACFAD" w:rsidR="002A23D1"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R</w:t>
      </w:r>
      <w:r w:rsidR="002A23D1" w:rsidRPr="00250C7F">
        <w:rPr>
          <w:rFonts w:ascii="Times New Roman" w:hAnsi="Times New Roman" w:cs="Times New Roman"/>
          <w:sz w:val="24"/>
          <w:szCs w:val="24"/>
        </w:rPr>
        <w:t>ăspundere civilă delictuală</w:t>
      </w:r>
      <w:r w:rsidR="00B562F5" w:rsidRPr="00250C7F">
        <w:rPr>
          <w:rFonts w:ascii="Times New Roman" w:hAnsi="Times New Roman" w:cs="Times New Roman"/>
          <w:sz w:val="24"/>
          <w:szCs w:val="24"/>
        </w:rPr>
        <w:t xml:space="preserve"> </w:t>
      </w:r>
      <w:r w:rsidR="00B562F5" w:rsidRPr="00250C7F">
        <w:rPr>
          <w:rFonts w:ascii="Times New Roman" w:hAnsi="Times New Roman" w:cs="Times New Roman"/>
          <w:b/>
          <w:bCs/>
          <w:sz w:val="24"/>
          <w:szCs w:val="24"/>
        </w:rPr>
        <w:t>65</w:t>
      </w:r>
    </w:p>
    <w:p w14:paraId="048FCC15" w14:textId="57A73FFC" w:rsidR="004A17EB" w:rsidRPr="00250C7F" w:rsidRDefault="002A23D1"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r</w:t>
      </w:r>
      <w:r w:rsidR="004A17EB" w:rsidRPr="00250C7F">
        <w:rPr>
          <w:rFonts w:ascii="Times New Roman" w:hAnsi="Times New Roman" w:cs="Times New Roman"/>
          <w:sz w:val="24"/>
          <w:szCs w:val="24"/>
        </w:rPr>
        <w:t>ecurs în casaţie</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136</w:t>
      </w:r>
    </w:p>
    <w:p w14:paraId="1B94F987" w14:textId="25CABC7B"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refuzul acordării dreptului de şedere pe termen lung</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34</w:t>
      </w:r>
    </w:p>
    <w:p w14:paraId="3D3576DA" w14:textId="2E8D264A"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remuneraţie suplimentară</w:t>
      </w:r>
      <w:r w:rsidR="00F60214" w:rsidRPr="00250C7F">
        <w:rPr>
          <w:rFonts w:ascii="Times New Roman" w:hAnsi="Times New Roman" w:cs="Times New Roman"/>
          <w:sz w:val="24"/>
          <w:szCs w:val="24"/>
        </w:rPr>
        <w:t xml:space="preserve"> </w:t>
      </w:r>
      <w:r w:rsidR="00F60214" w:rsidRPr="00250C7F">
        <w:rPr>
          <w:rFonts w:ascii="Times New Roman" w:hAnsi="Times New Roman" w:cs="Times New Roman"/>
          <w:b/>
          <w:bCs/>
          <w:sz w:val="24"/>
          <w:szCs w:val="24"/>
        </w:rPr>
        <w:t>85</w:t>
      </w:r>
    </w:p>
    <w:p w14:paraId="471D559F" w14:textId="5BBECC2F"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reunirea cauzelor</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196</w:t>
      </w:r>
    </w:p>
    <w:p w14:paraId="094F0D08" w14:textId="493476E3" w:rsidR="00AD3D0A" w:rsidRPr="00250C7F" w:rsidRDefault="00AD3D0A"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risc de confuzie</w:t>
      </w:r>
      <w:r w:rsidR="00B562F5" w:rsidRPr="00250C7F">
        <w:rPr>
          <w:rFonts w:ascii="Times New Roman" w:hAnsi="Times New Roman" w:cs="Times New Roman"/>
          <w:sz w:val="24"/>
          <w:szCs w:val="24"/>
        </w:rPr>
        <w:t xml:space="preserve"> </w:t>
      </w:r>
      <w:r w:rsidR="00B562F5" w:rsidRPr="00250C7F">
        <w:rPr>
          <w:rFonts w:ascii="Times New Roman" w:hAnsi="Times New Roman" w:cs="Times New Roman"/>
          <w:b/>
          <w:bCs/>
          <w:sz w:val="24"/>
          <w:szCs w:val="24"/>
        </w:rPr>
        <w:t>70</w:t>
      </w:r>
    </w:p>
    <w:p w14:paraId="537FE983" w14:textId="77777777" w:rsidR="004A17EB" w:rsidRPr="00250C7F" w:rsidRDefault="004A17EB" w:rsidP="003446ED">
      <w:pPr>
        <w:spacing w:after="0" w:line="240" w:lineRule="auto"/>
        <w:rPr>
          <w:rFonts w:ascii="Times New Roman" w:hAnsi="Times New Roman" w:cs="Times New Roman"/>
          <w:sz w:val="24"/>
          <w:szCs w:val="24"/>
        </w:rPr>
      </w:pPr>
    </w:p>
    <w:p w14:paraId="3C52C9C7" w14:textId="6D7323BF" w:rsidR="00AD3D0A" w:rsidRPr="00250C7F" w:rsidRDefault="00AD3D0A"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S</w:t>
      </w:r>
      <w:r w:rsidRPr="00250C7F">
        <w:rPr>
          <w:rFonts w:ascii="Times New Roman" w:hAnsi="Times New Roman" w:cs="Times New Roman"/>
          <w:sz w:val="24"/>
          <w:szCs w:val="24"/>
        </w:rPr>
        <w:t>chemă de ajutor de stat</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55</w:t>
      </w:r>
    </w:p>
    <w:p w14:paraId="6D2E1E7A" w14:textId="7E5F8CB1" w:rsidR="004A17EB" w:rsidRPr="00250C7F" w:rsidRDefault="00AD3D0A"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s</w:t>
      </w:r>
      <w:r w:rsidR="004A17EB" w:rsidRPr="00250C7F">
        <w:rPr>
          <w:rFonts w:ascii="Times New Roman" w:hAnsi="Times New Roman" w:cs="Times New Roman"/>
          <w:sz w:val="24"/>
          <w:szCs w:val="24"/>
        </w:rPr>
        <w:t>crisoare recomandată</w:t>
      </w:r>
      <w:r w:rsidR="002E7C20" w:rsidRPr="00250C7F">
        <w:rPr>
          <w:rFonts w:ascii="Times New Roman" w:hAnsi="Times New Roman" w:cs="Times New Roman"/>
          <w:sz w:val="24"/>
          <w:szCs w:val="24"/>
        </w:rPr>
        <w:t xml:space="preserve"> </w:t>
      </w:r>
      <w:r w:rsidR="002E7C20" w:rsidRPr="00250C7F">
        <w:rPr>
          <w:rFonts w:ascii="Times New Roman" w:hAnsi="Times New Roman" w:cs="Times New Roman"/>
          <w:b/>
          <w:sz w:val="24"/>
          <w:szCs w:val="24"/>
        </w:rPr>
        <w:t>108</w:t>
      </w:r>
    </w:p>
    <w:p w14:paraId="12A2570C" w14:textId="2A3E8564" w:rsidR="00ED4FEB" w:rsidRPr="00250C7F" w:rsidRDefault="00ED4F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scutire directă</w:t>
      </w:r>
      <w:r w:rsidR="00127CAC" w:rsidRPr="00250C7F">
        <w:rPr>
          <w:rFonts w:ascii="Times New Roman" w:hAnsi="Times New Roman" w:cs="Times New Roman"/>
          <w:sz w:val="24"/>
          <w:szCs w:val="24"/>
        </w:rPr>
        <w:t xml:space="preserve"> </w:t>
      </w:r>
      <w:r w:rsidR="00127CAC" w:rsidRPr="00250C7F">
        <w:rPr>
          <w:rFonts w:ascii="Times New Roman" w:hAnsi="Times New Roman" w:cs="Times New Roman"/>
          <w:b/>
          <w:bCs/>
          <w:sz w:val="24"/>
          <w:szCs w:val="24"/>
        </w:rPr>
        <w:t>120</w:t>
      </w:r>
    </w:p>
    <w:p w14:paraId="6B44ABAB" w14:textId="6F515B0E" w:rsidR="00ED4FEB" w:rsidRPr="00250C7F" w:rsidRDefault="00ED4F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scutire indirectă</w:t>
      </w:r>
      <w:r w:rsidR="00127CAC" w:rsidRPr="00250C7F">
        <w:rPr>
          <w:rFonts w:ascii="Times New Roman" w:hAnsi="Times New Roman" w:cs="Times New Roman"/>
          <w:sz w:val="24"/>
          <w:szCs w:val="24"/>
        </w:rPr>
        <w:t xml:space="preserve"> </w:t>
      </w:r>
      <w:r w:rsidR="00127CAC" w:rsidRPr="00250C7F">
        <w:rPr>
          <w:rFonts w:ascii="Times New Roman" w:hAnsi="Times New Roman" w:cs="Times New Roman"/>
          <w:b/>
          <w:bCs/>
          <w:sz w:val="24"/>
          <w:szCs w:val="24"/>
        </w:rPr>
        <w:t>120</w:t>
      </w:r>
    </w:p>
    <w:p w14:paraId="1D5430FF" w14:textId="0BA4F50A"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siguranţă naţională</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34</w:t>
      </w:r>
    </w:p>
    <w:p w14:paraId="41E87815" w14:textId="3F2F05DC"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soluţii</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201</w:t>
      </w:r>
    </w:p>
    <w:p w14:paraId="0E53A87B" w14:textId="48B1E522" w:rsidR="004A17EB" w:rsidRPr="00250C7F" w:rsidRDefault="004A17EB"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specialia generalibus derogant</w:t>
      </w:r>
      <w:r w:rsidR="00F60214" w:rsidRPr="00250C7F">
        <w:rPr>
          <w:rFonts w:ascii="Times New Roman" w:hAnsi="Times New Roman" w:cs="Times New Roman"/>
          <w:sz w:val="24"/>
          <w:szCs w:val="24"/>
        </w:rPr>
        <w:t xml:space="preserve"> </w:t>
      </w:r>
      <w:r w:rsidR="00F60214" w:rsidRPr="00250C7F">
        <w:rPr>
          <w:rFonts w:ascii="Times New Roman" w:hAnsi="Times New Roman" w:cs="Times New Roman"/>
          <w:b/>
          <w:bCs/>
          <w:sz w:val="24"/>
          <w:szCs w:val="24"/>
        </w:rPr>
        <w:t>85</w:t>
      </w:r>
    </w:p>
    <w:p w14:paraId="3A732AE9" w14:textId="3ADF5153"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suspendare</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22</w:t>
      </w:r>
    </w:p>
    <w:p w14:paraId="6F41F745" w14:textId="2CC3C4F7" w:rsidR="004A17EB" w:rsidRPr="00250C7F" w:rsidRDefault="004A17EB" w:rsidP="003446ED">
      <w:pPr>
        <w:spacing w:after="0" w:line="240" w:lineRule="auto"/>
        <w:rPr>
          <w:rFonts w:ascii="Times New Roman" w:hAnsi="Times New Roman" w:cs="Times New Roman"/>
          <w:b/>
          <w:sz w:val="24"/>
          <w:szCs w:val="24"/>
        </w:rPr>
      </w:pPr>
      <w:r w:rsidRPr="00250C7F">
        <w:rPr>
          <w:rFonts w:ascii="Times New Roman" w:hAnsi="Times New Roman" w:cs="Times New Roman"/>
          <w:sz w:val="24"/>
          <w:szCs w:val="24"/>
        </w:rPr>
        <w:t>suspendarea judecăţii</w:t>
      </w:r>
      <w:r w:rsidR="00DD30B1" w:rsidRPr="00250C7F">
        <w:rPr>
          <w:rFonts w:ascii="Times New Roman" w:hAnsi="Times New Roman" w:cs="Times New Roman"/>
          <w:sz w:val="24"/>
          <w:szCs w:val="24"/>
        </w:rPr>
        <w:t xml:space="preserve"> </w:t>
      </w:r>
      <w:r w:rsidR="00DD30B1" w:rsidRPr="00250C7F">
        <w:rPr>
          <w:rFonts w:ascii="Times New Roman" w:hAnsi="Times New Roman" w:cs="Times New Roman"/>
          <w:b/>
          <w:sz w:val="24"/>
          <w:szCs w:val="24"/>
        </w:rPr>
        <w:t>188</w:t>
      </w:r>
    </w:p>
    <w:p w14:paraId="50B80EF9" w14:textId="385EA131"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sustragerea sau distrugerea de înscrisuri</w:t>
      </w:r>
      <w:r w:rsidR="00DE56BE" w:rsidRPr="00250C7F">
        <w:rPr>
          <w:rFonts w:ascii="Times New Roman" w:hAnsi="Times New Roman" w:cs="Times New Roman"/>
          <w:sz w:val="24"/>
          <w:szCs w:val="24"/>
        </w:rPr>
        <w:t xml:space="preserve"> </w:t>
      </w:r>
      <w:r w:rsidR="00DE56BE" w:rsidRPr="00250C7F">
        <w:rPr>
          <w:rFonts w:ascii="Times New Roman" w:hAnsi="Times New Roman" w:cs="Times New Roman"/>
          <w:b/>
          <w:sz w:val="24"/>
          <w:szCs w:val="24"/>
        </w:rPr>
        <w:t>136</w:t>
      </w:r>
    </w:p>
    <w:p w14:paraId="40233881" w14:textId="07B7CBAC"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sustragerea sau distrugerea de probe ori de înscrisuri</w:t>
      </w:r>
      <w:r w:rsidR="00DE56BE" w:rsidRPr="00250C7F">
        <w:rPr>
          <w:rFonts w:ascii="Times New Roman" w:hAnsi="Times New Roman" w:cs="Times New Roman"/>
          <w:sz w:val="24"/>
          <w:szCs w:val="24"/>
        </w:rPr>
        <w:t xml:space="preserve"> </w:t>
      </w:r>
      <w:r w:rsidR="00DE56BE" w:rsidRPr="00250C7F">
        <w:rPr>
          <w:rFonts w:ascii="Times New Roman" w:hAnsi="Times New Roman" w:cs="Times New Roman"/>
          <w:b/>
          <w:sz w:val="24"/>
          <w:szCs w:val="24"/>
        </w:rPr>
        <w:t>136</w:t>
      </w:r>
    </w:p>
    <w:p w14:paraId="60131FEA" w14:textId="77777777" w:rsidR="004A17EB" w:rsidRPr="00250C7F" w:rsidRDefault="004A17EB" w:rsidP="003446ED">
      <w:pPr>
        <w:spacing w:after="0" w:line="240" w:lineRule="auto"/>
        <w:rPr>
          <w:rFonts w:ascii="Times New Roman" w:hAnsi="Times New Roman" w:cs="Times New Roman"/>
          <w:sz w:val="24"/>
          <w:szCs w:val="24"/>
        </w:rPr>
      </w:pPr>
    </w:p>
    <w:p w14:paraId="58BC47FF" w14:textId="1C87B373"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b/>
          <w:bCs/>
          <w:sz w:val="24"/>
          <w:szCs w:val="24"/>
        </w:rPr>
        <w:t>T</w:t>
      </w:r>
      <w:r w:rsidRPr="00250C7F">
        <w:rPr>
          <w:rFonts w:ascii="Times New Roman" w:hAnsi="Times New Roman" w:cs="Times New Roman"/>
          <w:sz w:val="24"/>
          <w:szCs w:val="24"/>
        </w:rPr>
        <w:t>abloul avocaţilor</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22</w:t>
      </w:r>
    </w:p>
    <w:p w14:paraId="4A22E25E" w14:textId="0C984575"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tabloul avocaţilor incompatibili</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22</w:t>
      </w:r>
    </w:p>
    <w:p w14:paraId="37531D18" w14:textId="1F6C258C" w:rsidR="004A17EB" w:rsidRPr="00250C7F" w:rsidRDefault="004A17EB" w:rsidP="003446ED">
      <w:pPr>
        <w:spacing w:after="0" w:line="240" w:lineRule="auto"/>
        <w:rPr>
          <w:rFonts w:ascii="Times New Roman" w:hAnsi="Times New Roman" w:cs="Times New Roman"/>
          <w:sz w:val="24"/>
          <w:szCs w:val="24"/>
        </w:rPr>
      </w:pPr>
      <w:r w:rsidRPr="00250C7F">
        <w:rPr>
          <w:rFonts w:ascii="Times New Roman" w:hAnsi="Times New Roman" w:cs="Times New Roman"/>
          <w:sz w:val="24"/>
          <w:szCs w:val="24"/>
        </w:rPr>
        <w:t>tardivitate</w:t>
      </w:r>
      <w:r w:rsidR="002E7C20" w:rsidRPr="00250C7F">
        <w:rPr>
          <w:rFonts w:ascii="Times New Roman" w:hAnsi="Times New Roman" w:cs="Times New Roman"/>
          <w:sz w:val="24"/>
          <w:szCs w:val="24"/>
        </w:rPr>
        <w:t xml:space="preserve"> </w:t>
      </w:r>
      <w:r w:rsidR="002E7C20" w:rsidRPr="00250C7F">
        <w:rPr>
          <w:rFonts w:ascii="Times New Roman" w:hAnsi="Times New Roman" w:cs="Times New Roman"/>
          <w:b/>
          <w:sz w:val="24"/>
          <w:szCs w:val="24"/>
        </w:rPr>
        <w:t>108</w:t>
      </w:r>
    </w:p>
    <w:p w14:paraId="0369423E" w14:textId="779BC0C3" w:rsidR="00AD3D0A" w:rsidRPr="00250C7F" w:rsidRDefault="00AD3D0A" w:rsidP="003446ED">
      <w:pPr>
        <w:spacing w:after="0" w:line="240" w:lineRule="auto"/>
        <w:rPr>
          <w:rFonts w:ascii="Times New Roman" w:hAnsi="Times New Roman" w:cs="Times New Roman"/>
          <w:b/>
          <w:bCs/>
          <w:sz w:val="24"/>
          <w:szCs w:val="24"/>
        </w:rPr>
      </w:pPr>
      <w:r w:rsidRPr="00250C7F">
        <w:rPr>
          <w:rFonts w:ascii="Times New Roman" w:hAnsi="Times New Roman" w:cs="Times New Roman"/>
          <w:sz w:val="24"/>
          <w:szCs w:val="24"/>
        </w:rPr>
        <w:t>teren cu vegetaţie forestieră</w:t>
      </w:r>
      <w:r w:rsidR="00CE5011" w:rsidRPr="00250C7F">
        <w:rPr>
          <w:rFonts w:ascii="Times New Roman" w:hAnsi="Times New Roman" w:cs="Times New Roman"/>
          <w:sz w:val="24"/>
          <w:szCs w:val="24"/>
        </w:rPr>
        <w:t xml:space="preserve"> </w:t>
      </w:r>
      <w:r w:rsidR="00CE5011" w:rsidRPr="00250C7F">
        <w:rPr>
          <w:rFonts w:ascii="Times New Roman" w:hAnsi="Times New Roman" w:cs="Times New Roman"/>
          <w:b/>
          <w:bCs/>
          <w:sz w:val="24"/>
          <w:szCs w:val="24"/>
        </w:rPr>
        <w:t>55</w:t>
      </w:r>
    </w:p>
    <w:p w14:paraId="2D3EF4B3" w14:textId="1B403B4E" w:rsidR="003446ED" w:rsidRPr="00250C7F" w:rsidRDefault="003446ED" w:rsidP="003446ED">
      <w:pPr>
        <w:spacing w:after="0" w:line="240" w:lineRule="auto"/>
        <w:rPr>
          <w:rFonts w:ascii="Times New Roman" w:hAnsi="Times New Roman" w:cs="Times New Roman"/>
          <w:sz w:val="24"/>
          <w:szCs w:val="24"/>
        </w:rPr>
      </w:pPr>
      <w:r w:rsidRPr="00250C7F">
        <w:rPr>
          <w:rFonts w:ascii="Times New Roman" w:hAnsi="Times New Roman" w:cs="Times New Roman"/>
          <w:bCs/>
          <w:sz w:val="24"/>
          <w:szCs w:val="24"/>
        </w:rPr>
        <w:t>termenul prevăzut de art. 5 alin. (7) din OUG nr. 33/2007</w:t>
      </w:r>
      <w:r w:rsidR="00442818" w:rsidRPr="00250C7F">
        <w:rPr>
          <w:rFonts w:ascii="Times New Roman" w:hAnsi="Times New Roman" w:cs="Times New Roman"/>
          <w:bCs/>
          <w:sz w:val="24"/>
          <w:szCs w:val="24"/>
        </w:rPr>
        <w:t xml:space="preserve"> </w:t>
      </w:r>
      <w:r w:rsidRPr="00250C7F">
        <w:rPr>
          <w:rFonts w:ascii="Times New Roman" w:hAnsi="Times New Roman" w:cs="Times New Roman"/>
          <w:bCs/>
          <w:sz w:val="24"/>
          <w:szCs w:val="24"/>
        </w:rPr>
        <w:t xml:space="preserve"> </w:t>
      </w:r>
      <w:r w:rsidRPr="00250C7F">
        <w:rPr>
          <w:rFonts w:ascii="Times New Roman" w:hAnsi="Times New Roman" w:cs="Times New Roman"/>
          <w:b/>
          <w:sz w:val="24"/>
          <w:szCs w:val="24"/>
        </w:rPr>
        <w:t>3</w:t>
      </w:r>
    </w:p>
    <w:p w14:paraId="514DA7A3" w14:textId="77777777" w:rsidR="004A17EB" w:rsidRPr="00250C7F" w:rsidRDefault="004A17EB" w:rsidP="003446ED">
      <w:pPr>
        <w:spacing w:after="0" w:line="240" w:lineRule="auto"/>
        <w:rPr>
          <w:rFonts w:ascii="Times New Roman" w:hAnsi="Times New Roman" w:cs="Times New Roman"/>
          <w:sz w:val="24"/>
          <w:szCs w:val="24"/>
        </w:rPr>
      </w:pPr>
    </w:p>
    <w:p w14:paraId="2B24F940" w14:textId="5EB6C517" w:rsidR="004A17EB" w:rsidRPr="00250C7F" w:rsidRDefault="004A17EB" w:rsidP="003446ED">
      <w:pPr>
        <w:spacing w:after="0" w:line="240" w:lineRule="auto"/>
        <w:rPr>
          <w:rFonts w:ascii="Times New Roman" w:hAnsi="Times New Roman" w:cs="Times New Roman"/>
          <w:b/>
          <w:sz w:val="24"/>
          <w:szCs w:val="24"/>
        </w:rPr>
      </w:pPr>
      <w:r w:rsidRPr="00250C7F">
        <w:rPr>
          <w:rFonts w:ascii="Times New Roman" w:hAnsi="Times New Roman" w:cs="Times New Roman"/>
          <w:b/>
          <w:bCs/>
          <w:sz w:val="24"/>
          <w:szCs w:val="24"/>
        </w:rPr>
        <w:t>U</w:t>
      </w:r>
      <w:r w:rsidRPr="00250C7F">
        <w:rPr>
          <w:rFonts w:ascii="Times New Roman" w:hAnsi="Times New Roman" w:cs="Times New Roman"/>
          <w:sz w:val="24"/>
          <w:szCs w:val="24"/>
        </w:rPr>
        <w:t>zurparea funcţiei</w:t>
      </w:r>
      <w:r w:rsidR="00442818" w:rsidRPr="00250C7F">
        <w:rPr>
          <w:rFonts w:ascii="Times New Roman" w:hAnsi="Times New Roman" w:cs="Times New Roman"/>
          <w:sz w:val="24"/>
          <w:szCs w:val="24"/>
        </w:rPr>
        <w:t xml:space="preserve"> </w:t>
      </w:r>
      <w:r w:rsidR="00442818" w:rsidRPr="00250C7F">
        <w:rPr>
          <w:rFonts w:ascii="Times New Roman" w:hAnsi="Times New Roman" w:cs="Times New Roman"/>
          <w:b/>
          <w:sz w:val="24"/>
          <w:szCs w:val="24"/>
        </w:rPr>
        <w:t>145</w:t>
      </w:r>
    </w:p>
    <w:p w14:paraId="447AC858" w14:textId="77777777" w:rsidR="004A17EB" w:rsidRPr="00250C7F" w:rsidRDefault="004A17EB" w:rsidP="003446ED">
      <w:pPr>
        <w:spacing w:after="0" w:line="240" w:lineRule="auto"/>
        <w:rPr>
          <w:rFonts w:ascii="Times New Roman" w:hAnsi="Times New Roman" w:cs="Times New Roman"/>
          <w:sz w:val="24"/>
          <w:szCs w:val="24"/>
        </w:rPr>
      </w:pPr>
    </w:p>
    <w:p w14:paraId="20FFD1D6" w14:textId="77777777" w:rsidR="00B76B8F" w:rsidRPr="00250C7F" w:rsidRDefault="00B76B8F" w:rsidP="003446ED">
      <w:pPr>
        <w:spacing w:after="0" w:line="240" w:lineRule="auto"/>
      </w:pPr>
    </w:p>
    <w:sectPr w:rsidR="00B76B8F" w:rsidRPr="00250C7F" w:rsidSect="00DD1F71">
      <w:footerReference w:type="default" r:id="rId21"/>
      <w:pgSz w:w="11906" w:h="16838" w:code="9"/>
      <w:pgMar w:top="284" w:right="1077" w:bottom="1418"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3E034" w14:textId="77777777" w:rsidR="00250C7F" w:rsidRDefault="00250C7F" w:rsidP="00F337DE">
      <w:pPr>
        <w:spacing w:after="0" w:line="240" w:lineRule="auto"/>
      </w:pPr>
      <w:r>
        <w:separator/>
      </w:r>
    </w:p>
  </w:endnote>
  <w:endnote w:type="continuationSeparator" w:id="0">
    <w:p w14:paraId="2E47AD24" w14:textId="77777777" w:rsidR="00250C7F" w:rsidRDefault="00250C7F" w:rsidP="00F33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valon Rom">
    <w:altName w:val="Arial"/>
    <w:charset w:val="00"/>
    <w:family w:val="swiss"/>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PT Sans">
    <w:altName w:val="Arial"/>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653642"/>
      <w:docPartObj>
        <w:docPartGallery w:val="Page Numbers (Bottom of Page)"/>
        <w:docPartUnique/>
      </w:docPartObj>
    </w:sdtPr>
    <w:sdtEndPr>
      <w:rPr>
        <w:noProof/>
      </w:rPr>
    </w:sdtEndPr>
    <w:sdtContent>
      <w:p w14:paraId="5D23B8DA" w14:textId="68745B02" w:rsidR="00250C7F" w:rsidRDefault="00250C7F">
        <w:pPr>
          <w:pStyle w:val="Footer"/>
          <w:jc w:val="right"/>
        </w:pPr>
        <w:r>
          <w:fldChar w:fldCharType="begin"/>
        </w:r>
        <w:r>
          <w:instrText xml:space="preserve"> PAGE   \* MERGEFORMAT </w:instrText>
        </w:r>
        <w:r>
          <w:fldChar w:fldCharType="separate"/>
        </w:r>
        <w:r w:rsidR="00845D2D">
          <w:rPr>
            <w:noProof/>
          </w:rPr>
          <w:t>2</w:t>
        </w:r>
        <w:r>
          <w:rPr>
            <w:noProof/>
          </w:rPr>
          <w:fldChar w:fldCharType="end"/>
        </w:r>
      </w:p>
    </w:sdtContent>
  </w:sdt>
  <w:p w14:paraId="3E775B89" w14:textId="77777777" w:rsidR="00250C7F" w:rsidRDefault="00250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814540"/>
      <w:docPartObj>
        <w:docPartGallery w:val="Page Numbers (Bottom of Page)"/>
        <w:docPartUnique/>
      </w:docPartObj>
    </w:sdtPr>
    <w:sdtEndPr>
      <w:rPr>
        <w:noProof/>
      </w:rPr>
    </w:sdtEndPr>
    <w:sdtContent>
      <w:p w14:paraId="7A72F820" w14:textId="670F6468" w:rsidR="00250C7F" w:rsidRDefault="00250C7F">
        <w:pPr>
          <w:pStyle w:val="Footer"/>
          <w:jc w:val="right"/>
        </w:pPr>
        <w:r>
          <w:fldChar w:fldCharType="begin"/>
        </w:r>
        <w:r>
          <w:instrText xml:space="preserve"> PAGE   \* MERGEFORMAT </w:instrText>
        </w:r>
        <w:r>
          <w:fldChar w:fldCharType="separate"/>
        </w:r>
        <w:r w:rsidR="00845D2D">
          <w:rPr>
            <w:noProof/>
          </w:rPr>
          <w:t>207</w:t>
        </w:r>
        <w:r>
          <w:rPr>
            <w:noProof/>
          </w:rPr>
          <w:fldChar w:fldCharType="end"/>
        </w:r>
      </w:p>
    </w:sdtContent>
  </w:sdt>
  <w:p w14:paraId="27A5D0B9" w14:textId="77777777" w:rsidR="00250C7F" w:rsidRDefault="00250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402403"/>
      <w:docPartObj>
        <w:docPartGallery w:val="Page Numbers (Bottom of Page)"/>
        <w:docPartUnique/>
      </w:docPartObj>
    </w:sdtPr>
    <w:sdtEndPr>
      <w:rPr>
        <w:noProof/>
      </w:rPr>
    </w:sdtEndPr>
    <w:sdtContent>
      <w:p w14:paraId="37507835" w14:textId="6DFEB847" w:rsidR="00250C7F" w:rsidRDefault="00250C7F">
        <w:pPr>
          <w:pStyle w:val="Footer"/>
          <w:jc w:val="right"/>
        </w:pPr>
        <w:r>
          <w:fldChar w:fldCharType="begin"/>
        </w:r>
        <w:r>
          <w:instrText xml:space="preserve"> PAGE   \* MERGEFORMAT </w:instrText>
        </w:r>
        <w:r>
          <w:fldChar w:fldCharType="separate"/>
        </w:r>
        <w:r w:rsidR="00845D2D">
          <w:rPr>
            <w:noProof/>
          </w:rPr>
          <w:t>210</w:t>
        </w:r>
        <w:r>
          <w:rPr>
            <w:noProof/>
          </w:rPr>
          <w:fldChar w:fldCharType="end"/>
        </w:r>
      </w:p>
    </w:sdtContent>
  </w:sdt>
  <w:p w14:paraId="25206B0A" w14:textId="77777777" w:rsidR="00250C7F" w:rsidRDefault="00250C7F">
    <w:pPr>
      <w:pStyle w:val="Footer"/>
    </w:pPr>
    <w:r w:rsidRPr="001147B7">
      <w:rPr>
        <w:rFonts w:ascii="Times New Roman" w:hAnsi="Times New Roman" w:cs="Times New Roman"/>
        <w:sz w:val="24"/>
        <w:szCs w:val="24"/>
      </w:rPr>
      <w:t>Cifrele fac trimitere la numărul de pagini.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53727" w14:textId="77777777" w:rsidR="00250C7F" w:rsidRDefault="00250C7F" w:rsidP="00F337DE">
      <w:pPr>
        <w:spacing w:after="0" w:line="240" w:lineRule="auto"/>
      </w:pPr>
      <w:r>
        <w:separator/>
      </w:r>
    </w:p>
  </w:footnote>
  <w:footnote w:type="continuationSeparator" w:id="0">
    <w:p w14:paraId="75186E6F" w14:textId="77777777" w:rsidR="00250C7F" w:rsidRDefault="00250C7F" w:rsidP="00F33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CBD2F" w14:textId="77777777" w:rsidR="00250C7F" w:rsidRPr="00F337DE" w:rsidRDefault="00250C7F" w:rsidP="00F337DE">
    <w:pPr>
      <w:pStyle w:val="Header"/>
      <w:rPr>
        <w:rFonts w:ascii="Times New Roman" w:hAnsi="Times New Roman" w:cs="Times New Roman"/>
        <w:sz w:val="24"/>
        <w:szCs w:val="24"/>
      </w:rPr>
    </w:pPr>
  </w:p>
  <w:p w14:paraId="6A12BF97" w14:textId="77777777" w:rsidR="00250C7F" w:rsidRPr="00F337DE" w:rsidRDefault="00250C7F" w:rsidP="00F33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5A12"/>
    <w:multiLevelType w:val="hybridMultilevel"/>
    <w:tmpl w:val="BF48BA30"/>
    <w:lvl w:ilvl="0" w:tplc="3F028E1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4B4B9B"/>
    <w:multiLevelType w:val="hybridMultilevel"/>
    <w:tmpl w:val="334AE92A"/>
    <w:lvl w:ilvl="0" w:tplc="C91018D0">
      <w:start w:val="4"/>
      <w:numFmt w:val="decimal"/>
      <w:lvlText w:val="%1."/>
      <w:lvlJc w:val="left"/>
      <w:pPr>
        <w:ind w:left="1065" w:hanging="360"/>
      </w:pPr>
      <w:rPr>
        <w:rFonts w:hint="default"/>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2" w15:restartNumberingAfterBreak="0">
    <w:nsid w:val="17165451"/>
    <w:multiLevelType w:val="hybridMultilevel"/>
    <w:tmpl w:val="6964BFB8"/>
    <w:lvl w:ilvl="0" w:tplc="EB78EA7E">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7BB1ABA"/>
    <w:multiLevelType w:val="hybridMultilevel"/>
    <w:tmpl w:val="2F4A7B80"/>
    <w:lvl w:ilvl="0" w:tplc="9D0A26F6">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1A9C0497"/>
    <w:multiLevelType w:val="hybridMultilevel"/>
    <w:tmpl w:val="90BA9D82"/>
    <w:lvl w:ilvl="0" w:tplc="E6641C3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AC8160B"/>
    <w:multiLevelType w:val="hybridMultilevel"/>
    <w:tmpl w:val="4C5822A2"/>
    <w:lvl w:ilvl="0" w:tplc="2BAA8910">
      <w:start w:val="2"/>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55E8A"/>
    <w:multiLevelType w:val="hybridMultilevel"/>
    <w:tmpl w:val="C74095A0"/>
    <w:lvl w:ilvl="0" w:tplc="6B9E020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F0425DD"/>
    <w:multiLevelType w:val="hybridMultilevel"/>
    <w:tmpl w:val="7D56B6F4"/>
    <w:lvl w:ilvl="0" w:tplc="C92C1DC6">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230F40EF"/>
    <w:multiLevelType w:val="hybridMultilevel"/>
    <w:tmpl w:val="D02E0814"/>
    <w:lvl w:ilvl="0" w:tplc="2868750E">
      <w:start w:val="1"/>
      <w:numFmt w:val="upperLetter"/>
      <w:lvlText w:val="%1."/>
      <w:lvlJc w:val="left"/>
      <w:pPr>
        <w:ind w:left="720" w:hanging="360"/>
      </w:pPr>
      <w:rPr>
        <w:rFonts w:ascii="Times New Roman" w:eastAsia="Calibri" w:hAnsi="Times New Roman" w:cs="Times New Roman"/>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F143F"/>
    <w:multiLevelType w:val="hybridMultilevel"/>
    <w:tmpl w:val="9A2027F6"/>
    <w:lvl w:ilvl="0" w:tplc="32D68C58">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0" w15:restartNumberingAfterBreak="0">
    <w:nsid w:val="260A7463"/>
    <w:multiLevelType w:val="hybridMultilevel"/>
    <w:tmpl w:val="08B21564"/>
    <w:lvl w:ilvl="0" w:tplc="FA0E87B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6FE2741"/>
    <w:multiLevelType w:val="singleLevel"/>
    <w:tmpl w:val="FA3EC426"/>
    <w:lvl w:ilvl="0">
      <w:start w:val="1"/>
      <w:numFmt w:val="lowerLetter"/>
      <w:lvlText w:val="%1)"/>
      <w:legacy w:legacy="1" w:legacySpace="0" w:legacyIndent="307"/>
      <w:lvlJc w:val="left"/>
      <w:rPr>
        <w:rFonts w:ascii="Times New Roman" w:hAnsi="Times New Roman" w:cs="Times New Roman" w:hint="default"/>
      </w:rPr>
    </w:lvl>
  </w:abstractNum>
  <w:abstractNum w:abstractNumId="12" w15:restartNumberingAfterBreak="0">
    <w:nsid w:val="28394EB1"/>
    <w:multiLevelType w:val="hybridMultilevel"/>
    <w:tmpl w:val="A1804F10"/>
    <w:lvl w:ilvl="0" w:tplc="3CC263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455181"/>
    <w:multiLevelType w:val="hybridMultilevel"/>
    <w:tmpl w:val="C0DE8834"/>
    <w:lvl w:ilvl="0" w:tplc="205E152C">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15:restartNumberingAfterBreak="0">
    <w:nsid w:val="2C742052"/>
    <w:multiLevelType w:val="hybridMultilevel"/>
    <w:tmpl w:val="88F00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A62A0B"/>
    <w:multiLevelType w:val="hybridMultilevel"/>
    <w:tmpl w:val="AD869A30"/>
    <w:lvl w:ilvl="0" w:tplc="C97C503E">
      <w:start w:val="4"/>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3064376A"/>
    <w:multiLevelType w:val="hybridMultilevel"/>
    <w:tmpl w:val="0096F800"/>
    <w:lvl w:ilvl="0" w:tplc="FD88F65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5F2324D"/>
    <w:multiLevelType w:val="hybridMultilevel"/>
    <w:tmpl w:val="7208FC70"/>
    <w:lvl w:ilvl="0" w:tplc="FCE8FA8C">
      <w:start w:val="3"/>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37590C4D"/>
    <w:multiLevelType w:val="hybridMultilevel"/>
    <w:tmpl w:val="096CED82"/>
    <w:lvl w:ilvl="0" w:tplc="128494A6">
      <w:start w:val="15"/>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9" w15:restartNumberingAfterBreak="0">
    <w:nsid w:val="3E0E4E28"/>
    <w:multiLevelType w:val="hybridMultilevel"/>
    <w:tmpl w:val="8F1A64E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214DBF"/>
    <w:multiLevelType w:val="hybridMultilevel"/>
    <w:tmpl w:val="D5328850"/>
    <w:lvl w:ilvl="0" w:tplc="4424A628">
      <w:start w:val="36"/>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 w15:restartNumberingAfterBreak="0">
    <w:nsid w:val="4195358D"/>
    <w:multiLevelType w:val="hybridMultilevel"/>
    <w:tmpl w:val="4492E116"/>
    <w:lvl w:ilvl="0" w:tplc="44888B8E">
      <w:start w:val="3"/>
      <w:numFmt w:val="decimal"/>
      <w:lvlText w:val="%1."/>
      <w:lvlJc w:val="left"/>
      <w:pPr>
        <w:ind w:left="1426" w:hanging="360"/>
      </w:pPr>
      <w:rPr>
        <w:rFonts w:hint="default"/>
      </w:rPr>
    </w:lvl>
    <w:lvl w:ilvl="1" w:tplc="04090019">
      <w:start w:val="1"/>
      <w:numFmt w:val="lowerLetter"/>
      <w:lvlText w:val="%2."/>
      <w:lvlJc w:val="left"/>
      <w:pPr>
        <w:ind w:left="2146" w:hanging="360"/>
      </w:pPr>
    </w:lvl>
    <w:lvl w:ilvl="2" w:tplc="0409001B">
      <w:start w:val="1"/>
      <w:numFmt w:val="lowerRoman"/>
      <w:lvlText w:val="%3."/>
      <w:lvlJc w:val="right"/>
      <w:pPr>
        <w:ind w:left="2866" w:hanging="180"/>
      </w:pPr>
    </w:lvl>
    <w:lvl w:ilvl="3" w:tplc="0409000F">
      <w:start w:val="1"/>
      <w:numFmt w:val="decimal"/>
      <w:lvlText w:val="%4."/>
      <w:lvlJc w:val="left"/>
      <w:pPr>
        <w:ind w:left="3586" w:hanging="360"/>
      </w:pPr>
    </w:lvl>
    <w:lvl w:ilvl="4" w:tplc="04090019">
      <w:start w:val="1"/>
      <w:numFmt w:val="lowerLetter"/>
      <w:lvlText w:val="%5."/>
      <w:lvlJc w:val="left"/>
      <w:pPr>
        <w:ind w:left="4306" w:hanging="360"/>
      </w:pPr>
    </w:lvl>
    <w:lvl w:ilvl="5" w:tplc="0409001B">
      <w:start w:val="1"/>
      <w:numFmt w:val="lowerRoman"/>
      <w:lvlText w:val="%6."/>
      <w:lvlJc w:val="right"/>
      <w:pPr>
        <w:ind w:left="5026" w:hanging="180"/>
      </w:pPr>
    </w:lvl>
    <w:lvl w:ilvl="6" w:tplc="0409000F">
      <w:start w:val="1"/>
      <w:numFmt w:val="decimal"/>
      <w:lvlText w:val="%7."/>
      <w:lvlJc w:val="left"/>
      <w:pPr>
        <w:ind w:left="5746" w:hanging="360"/>
      </w:pPr>
    </w:lvl>
    <w:lvl w:ilvl="7" w:tplc="04090019">
      <w:start w:val="1"/>
      <w:numFmt w:val="lowerLetter"/>
      <w:lvlText w:val="%8."/>
      <w:lvlJc w:val="left"/>
      <w:pPr>
        <w:ind w:left="6466" w:hanging="360"/>
      </w:pPr>
    </w:lvl>
    <w:lvl w:ilvl="8" w:tplc="0409001B">
      <w:start w:val="1"/>
      <w:numFmt w:val="lowerRoman"/>
      <w:lvlText w:val="%9."/>
      <w:lvlJc w:val="right"/>
      <w:pPr>
        <w:ind w:left="7186" w:hanging="180"/>
      </w:pPr>
    </w:lvl>
  </w:abstractNum>
  <w:abstractNum w:abstractNumId="22" w15:restartNumberingAfterBreak="0">
    <w:nsid w:val="42BE266F"/>
    <w:multiLevelType w:val="hybridMultilevel"/>
    <w:tmpl w:val="74BA731A"/>
    <w:lvl w:ilvl="0" w:tplc="0484976C">
      <w:numFmt w:val="bullet"/>
      <w:lvlText w:val="-"/>
      <w:lvlJc w:val="left"/>
      <w:pPr>
        <w:ind w:left="1068" w:hanging="360"/>
      </w:pPr>
      <w:rPr>
        <w:rFonts w:ascii="Times New Roman" w:eastAsia="SimSu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3" w15:restartNumberingAfterBreak="0">
    <w:nsid w:val="46F142ED"/>
    <w:multiLevelType w:val="multilevel"/>
    <w:tmpl w:val="1DDA7AC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4" w15:restartNumberingAfterBreak="0">
    <w:nsid w:val="4B7A5CDF"/>
    <w:multiLevelType w:val="multilevel"/>
    <w:tmpl w:val="4A74AE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D894AF8"/>
    <w:multiLevelType w:val="hybridMultilevel"/>
    <w:tmpl w:val="06960FE6"/>
    <w:lvl w:ilvl="0" w:tplc="51C8E890">
      <w:start w:val="2"/>
      <w:numFmt w:val="upperLetter"/>
      <w:lvlText w:val="%1."/>
      <w:lvlJc w:val="left"/>
      <w:pPr>
        <w:ind w:left="1080" w:hanging="360"/>
      </w:pPr>
      <w:rPr>
        <w:rFonts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7325EF6"/>
    <w:multiLevelType w:val="hybridMultilevel"/>
    <w:tmpl w:val="B3E00B7A"/>
    <w:lvl w:ilvl="0" w:tplc="EAAA22F6">
      <w:start w:val="19"/>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59764E80"/>
    <w:multiLevelType w:val="hybridMultilevel"/>
    <w:tmpl w:val="A74A59C4"/>
    <w:lvl w:ilvl="0" w:tplc="145C6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063501"/>
    <w:multiLevelType w:val="hybridMultilevel"/>
    <w:tmpl w:val="0AC444D8"/>
    <w:lvl w:ilvl="0" w:tplc="B1406E3A">
      <w:start w:val="2"/>
      <w:numFmt w:val="bullet"/>
      <w:lvlText w:val="-"/>
      <w:lvlJc w:val="left"/>
      <w:pPr>
        <w:ind w:left="1068" w:hanging="360"/>
      </w:pPr>
      <w:rPr>
        <w:rFonts w:ascii="Times New Roman" w:eastAsia="Calibri" w:hAnsi="Times New Roman" w:cs="Times New Roman"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29" w15:restartNumberingAfterBreak="0">
    <w:nsid w:val="5BD37CC5"/>
    <w:multiLevelType w:val="hybridMultilevel"/>
    <w:tmpl w:val="12245C96"/>
    <w:lvl w:ilvl="0" w:tplc="49607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157467"/>
    <w:multiLevelType w:val="hybridMultilevel"/>
    <w:tmpl w:val="8C949244"/>
    <w:lvl w:ilvl="0" w:tplc="DF30BFFA">
      <w:start w:val="1"/>
      <w:numFmt w:val="upperRoman"/>
      <w:lvlText w:val="%1."/>
      <w:lvlJc w:val="left"/>
      <w:pPr>
        <w:ind w:left="1287" w:hanging="72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1" w15:restartNumberingAfterBreak="0">
    <w:nsid w:val="5F8F2A78"/>
    <w:multiLevelType w:val="hybridMultilevel"/>
    <w:tmpl w:val="73E0BE8E"/>
    <w:lvl w:ilvl="0" w:tplc="BA803C1C">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603B70A0"/>
    <w:multiLevelType w:val="hybridMultilevel"/>
    <w:tmpl w:val="5AE0DB84"/>
    <w:lvl w:ilvl="0" w:tplc="A84010C2">
      <w:start w:val="3"/>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05C6845"/>
    <w:multiLevelType w:val="hybridMultilevel"/>
    <w:tmpl w:val="6AEC77C6"/>
    <w:lvl w:ilvl="0" w:tplc="D4AC66F0">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4" w15:restartNumberingAfterBreak="0">
    <w:nsid w:val="67020BE9"/>
    <w:multiLevelType w:val="hybridMultilevel"/>
    <w:tmpl w:val="1D1AE28E"/>
    <w:lvl w:ilvl="0" w:tplc="BC1C048E">
      <w:start w:val="2"/>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6BC656ED"/>
    <w:multiLevelType w:val="hybridMultilevel"/>
    <w:tmpl w:val="9E967CB4"/>
    <w:lvl w:ilvl="0" w:tplc="780A7316">
      <w:start w:val="1"/>
      <w:numFmt w:val="decimal"/>
      <w:lvlText w:val="%1."/>
      <w:lvlJc w:val="left"/>
      <w:pPr>
        <w:ind w:left="1068" w:hanging="360"/>
      </w:pPr>
      <w:rPr>
        <w:rFonts w:eastAsia="Arial Unicode M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DDC6E2E"/>
    <w:multiLevelType w:val="hybridMultilevel"/>
    <w:tmpl w:val="F356BB42"/>
    <w:lvl w:ilvl="0" w:tplc="C3902806">
      <w:start w:val="100"/>
      <w:numFmt w:val="upp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7" w15:restartNumberingAfterBreak="0">
    <w:nsid w:val="6F8E5A90"/>
    <w:multiLevelType w:val="multilevel"/>
    <w:tmpl w:val="5164CDB8"/>
    <w:lvl w:ilvl="0">
      <w:start w:val="1"/>
      <w:numFmt w:val="decimal"/>
      <w:lvlText w:val="%1."/>
      <w:lvlJc w:val="left"/>
      <w:pPr>
        <w:ind w:left="720" w:hanging="360"/>
      </w:pPr>
      <w:rPr>
        <w:rFonts w:ascii="Times New Roman" w:hAnsi="Times New Roman" w:cs="Times New Roman"/>
        <w:b/>
        <w:bCs/>
        <w:i w:val="0"/>
        <w:iCs w:val="0"/>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C361B1"/>
    <w:multiLevelType w:val="hybridMultilevel"/>
    <w:tmpl w:val="E13C76FE"/>
    <w:lvl w:ilvl="0" w:tplc="C4C8A9B4">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15:restartNumberingAfterBreak="0">
    <w:nsid w:val="729A3EC3"/>
    <w:multiLevelType w:val="hybridMultilevel"/>
    <w:tmpl w:val="0BB2E81C"/>
    <w:lvl w:ilvl="0" w:tplc="80F0F36C">
      <w:start w:val="1"/>
      <w:numFmt w:val="upp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768D6107"/>
    <w:multiLevelType w:val="hybridMultilevel"/>
    <w:tmpl w:val="1FFC7E60"/>
    <w:lvl w:ilvl="0" w:tplc="3AD420B4">
      <w:start w:val="3"/>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1" w15:restartNumberingAfterBreak="0">
    <w:nsid w:val="7801105F"/>
    <w:multiLevelType w:val="hybridMultilevel"/>
    <w:tmpl w:val="8B18A112"/>
    <w:lvl w:ilvl="0" w:tplc="9E56F806">
      <w:start w:val="9"/>
      <w:numFmt w:val="upp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42" w15:restartNumberingAfterBreak="0">
    <w:nsid w:val="790C1917"/>
    <w:multiLevelType w:val="hybridMultilevel"/>
    <w:tmpl w:val="7DB8907A"/>
    <w:lvl w:ilvl="0" w:tplc="99500216">
      <w:numFmt w:val="bullet"/>
      <w:lvlText w:val="-"/>
      <w:lvlJc w:val="left"/>
      <w:pPr>
        <w:ind w:left="720" w:hanging="360"/>
      </w:pPr>
      <w:rPr>
        <w:rFonts w:ascii="Arial Narrow" w:eastAsia="Calibri" w:hAnsi="Arial Narrow"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EF95879"/>
    <w:multiLevelType w:val="hybridMultilevel"/>
    <w:tmpl w:val="7708C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1"/>
  </w:num>
  <w:num w:numId="3">
    <w:abstractNumId w:val="25"/>
  </w:num>
  <w:num w:numId="4">
    <w:abstractNumId w:val="0"/>
  </w:num>
  <w:num w:numId="5">
    <w:abstractNumId w:val="30"/>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5"/>
  </w:num>
  <w:num w:numId="9">
    <w:abstractNumId w:val="41"/>
  </w:num>
  <w:num w:numId="10">
    <w:abstractNumId w:val="33"/>
  </w:num>
  <w:num w:numId="11">
    <w:abstractNumId w:val="2"/>
  </w:num>
  <w:num w:numId="12">
    <w:abstractNumId w:val="42"/>
  </w:num>
  <w:num w:numId="13">
    <w:abstractNumId w:val="6"/>
  </w:num>
  <w:num w:numId="14">
    <w:abstractNumId w:val="32"/>
  </w:num>
  <w:num w:numId="15">
    <w:abstractNumId w:val="27"/>
  </w:num>
  <w:num w:numId="16">
    <w:abstractNumId w:val="29"/>
  </w:num>
  <w:num w:numId="17">
    <w:abstractNumId w:val="37"/>
  </w:num>
  <w:num w:numId="18">
    <w:abstractNumId w:val="12"/>
  </w:num>
  <w:num w:numId="19">
    <w:abstractNumId w:val="39"/>
  </w:num>
  <w:num w:numId="20">
    <w:abstractNumId w:val="38"/>
  </w:num>
  <w:num w:numId="21">
    <w:abstractNumId w:val="21"/>
  </w:num>
  <w:num w:numId="22">
    <w:abstractNumId w:val="40"/>
  </w:num>
  <w:num w:numId="23">
    <w:abstractNumId w:val="28"/>
  </w:num>
  <w:num w:numId="24">
    <w:abstractNumId w:val="20"/>
  </w:num>
  <w:num w:numId="25">
    <w:abstractNumId w:val="43"/>
  </w:num>
  <w:num w:numId="26">
    <w:abstractNumId w:val="9"/>
  </w:num>
  <w:num w:numId="27">
    <w:abstractNumId w:val="17"/>
  </w:num>
  <w:num w:numId="28">
    <w:abstractNumId w:val="3"/>
  </w:num>
  <w:num w:numId="29">
    <w:abstractNumId w:val="18"/>
  </w:num>
  <w:num w:numId="30">
    <w:abstractNumId w:val="22"/>
  </w:num>
  <w:num w:numId="31">
    <w:abstractNumId w:val="19"/>
  </w:num>
  <w:num w:numId="32">
    <w:abstractNumId w:val="26"/>
  </w:num>
  <w:num w:numId="33">
    <w:abstractNumId w:val="5"/>
  </w:num>
  <w:num w:numId="34">
    <w:abstractNumId w:val="11"/>
  </w:num>
  <w:num w:numId="35">
    <w:abstractNumId w:val="14"/>
  </w:num>
  <w:num w:numId="36">
    <w:abstractNumId w:val="7"/>
  </w:num>
  <w:num w:numId="37">
    <w:abstractNumId w:val="36"/>
  </w:num>
  <w:num w:numId="38">
    <w:abstractNumId w:val="24"/>
  </w:num>
  <w:num w:numId="39">
    <w:abstractNumId w:val="35"/>
  </w:num>
  <w:num w:numId="40">
    <w:abstractNumId w:val="13"/>
  </w:num>
  <w:num w:numId="4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4"/>
  </w:num>
  <w:num w:numId="4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7DE"/>
    <w:rsid w:val="00001414"/>
    <w:rsid w:val="00010CCC"/>
    <w:rsid w:val="00023D86"/>
    <w:rsid w:val="000301FB"/>
    <w:rsid w:val="000303CA"/>
    <w:rsid w:val="00034332"/>
    <w:rsid w:val="00042957"/>
    <w:rsid w:val="00044AD8"/>
    <w:rsid w:val="00050B9C"/>
    <w:rsid w:val="00060C4B"/>
    <w:rsid w:val="00064B7A"/>
    <w:rsid w:val="00071798"/>
    <w:rsid w:val="000830E7"/>
    <w:rsid w:val="000866C9"/>
    <w:rsid w:val="00086EFD"/>
    <w:rsid w:val="00086F87"/>
    <w:rsid w:val="000A5A41"/>
    <w:rsid w:val="000A6945"/>
    <w:rsid w:val="000B27D4"/>
    <w:rsid w:val="000B4194"/>
    <w:rsid w:val="000C56E2"/>
    <w:rsid w:val="000D3679"/>
    <w:rsid w:val="000E139B"/>
    <w:rsid w:val="000E3C0F"/>
    <w:rsid w:val="000E5E18"/>
    <w:rsid w:val="000F222E"/>
    <w:rsid w:val="000F27A3"/>
    <w:rsid w:val="000F2C11"/>
    <w:rsid w:val="000F3D6C"/>
    <w:rsid w:val="00100420"/>
    <w:rsid w:val="00102377"/>
    <w:rsid w:val="00102AFC"/>
    <w:rsid w:val="0010792C"/>
    <w:rsid w:val="001147B7"/>
    <w:rsid w:val="00115C8A"/>
    <w:rsid w:val="001278F0"/>
    <w:rsid w:val="00127CAC"/>
    <w:rsid w:val="00133B3D"/>
    <w:rsid w:val="0013599B"/>
    <w:rsid w:val="00137801"/>
    <w:rsid w:val="00142F32"/>
    <w:rsid w:val="00142FA6"/>
    <w:rsid w:val="00147B01"/>
    <w:rsid w:val="0015115A"/>
    <w:rsid w:val="00151D0F"/>
    <w:rsid w:val="00151D38"/>
    <w:rsid w:val="001525DD"/>
    <w:rsid w:val="00156F37"/>
    <w:rsid w:val="0016020A"/>
    <w:rsid w:val="00161C4E"/>
    <w:rsid w:val="00165A80"/>
    <w:rsid w:val="00174050"/>
    <w:rsid w:val="00174DBC"/>
    <w:rsid w:val="0019783C"/>
    <w:rsid w:val="001A04CB"/>
    <w:rsid w:val="001A4F04"/>
    <w:rsid w:val="001A5B5C"/>
    <w:rsid w:val="001A6594"/>
    <w:rsid w:val="001B1CFF"/>
    <w:rsid w:val="001B39B6"/>
    <w:rsid w:val="001C6535"/>
    <w:rsid w:val="001C7BEF"/>
    <w:rsid w:val="001D71A1"/>
    <w:rsid w:val="001F323B"/>
    <w:rsid w:val="0020266A"/>
    <w:rsid w:val="00206F6B"/>
    <w:rsid w:val="002148E1"/>
    <w:rsid w:val="00236DED"/>
    <w:rsid w:val="00246906"/>
    <w:rsid w:val="0024776C"/>
    <w:rsid w:val="002478EA"/>
    <w:rsid w:val="00250C7F"/>
    <w:rsid w:val="002522CC"/>
    <w:rsid w:val="00260FB8"/>
    <w:rsid w:val="00261BA7"/>
    <w:rsid w:val="00261C54"/>
    <w:rsid w:val="00262F7B"/>
    <w:rsid w:val="0026344D"/>
    <w:rsid w:val="002649FF"/>
    <w:rsid w:val="002669C3"/>
    <w:rsid w:val="00266E1B"/>
    <w:rsid w:val="00275854"/>
    <w:rsid w:val="00276450"/>
    <w:rsid w:val="002806B7"/>
    <w:rsid w:val="0028626F"/>
    <w:rsid w:val="00286EC6"/>
    <w:rsid w:val="0029057F"/>
    <w:rsid w:val="00291201"/>
    <w:rsid w:val="0029176E"/>
    <w:rsid w:val="002948A0"/>
    <w:rsid w:val="00296210"/>
    <w:rsid w:val="002A2134"/>
    <w:rsid w:val="002A23D1"/>
    <w:rsid w:val="002B0029"/>
    <w:rsid w:val="002B0123"/>
    <w:rsid w:val="002B20AB"/>
    <w:rsid w:val="002B45CA"/>
    <w:rsid w:val="002C0C48"/>
    <w:rsid w:val="002C2CB3"/>
    <w:rsid w:val="002C3A6C"/>
    <w:rsid w:val="002C6B64"/>
    <w:rsid w:val="002E3013"/>
    <w:rsid w:val="002E5FA6"/>
    <w:rsid w:val="002E6D90"/>
    <w:rsid w:val="002E7C20"/>
    <w:rsid w:val="002F0359"/>
    <w:rsid w:val="002F0AB1"/>
    <w:rsid w:val="00307FF0"/>
    <w:rsid w:val="00314854"/>
    <w:rsid w:val="00314DFF"/>
    <w:rsid w:val="0032277C"/>
    <w:rsid w:val="00332ED0"/>
    <w:rsid w:val="00335DBD"/>
    <w:rsid w:val="00336F36"/>
    <w:rsid w:val="00344031"/>
    <w:rsid w:val="003446ED"/>
    <w:rsid w:val="00346BA1"/>
    <w:rsid w:val="003543A8"/>
    <w:rsid w:val="003636D6"/>
    <w:rsid w:val="00364AAC"/>
    <w:rsid w:val="00370B7D"/>
    <w:rsid w:val="00383EC8"/>
    <w:rsid w:val="0038738A"/>
    <w:rsid w:val="0039046F"/>
    <w:rsid w:val="0039235D"/>
    <w:rsid w:val="00393FA2"/>
    <w:rsid w:val="00397D09"/>
    <w:rsid w:val="003A4A9A"/>
    <w:rsid w:val="003A4EDD"/>
    <w:rsid w:val="003B2C29"/>
    <w:rsid w:val="003C168C"/>
    <w:rsid w:val="003C45ED"/>
    <w:rsid w:val="003C45F7"/>
    <w:rsid w:val="003D0063"/>
    <w:rsid w:val="003D13CB"/>
    <w:rsid w:val="003D5FDA"/>
    <w:rsid w:val="003E3667"/>
    <w:rsid w:val="003E506A"/>
    <w:rsid w:val="003E5A46"/>
    <w:rsid w:val="003E5E41"/>
    <w:rsid w:val="00400B63"/>
    <w:rsid w:val="00403506"/>
    <w:rsid w:val="004037F7"/>
    <w:rsid w:val="0041096B"/>
    <w:rsid w:val="00414E75"/>
    <w:rsid w:val="0042150A"/>
    <w:rsid w:val="00427C8C"/>
    <w:rsid w:val="00437F11"/>
    <w:rsid w:val="00442818"/>
    <w:rsid w:val="00443915"/>
    <w:rsid w:val="0045097A"/>
    <w:rsid w:val="00453BEF"/>
    <w:rsid w:val="00455967"/>
    <w:rsid w:val="00463AA7"/>
    <w:rsid w:val="00467651"/>
    <w:rsid w:val="00470530"/>
    <w:rsid w:val="00473294"/>
    <w:rsid w:val="00482503"/>
    <w:rsid w:val="004862A7"/>
    <w:rsid w:val="004A17EB"/>
    <w:rsid w:val="004A23F6"/>
    <w:rsid w:val="004A399B"/>
    <w:rsid w:val="004A3A4D"/>
    <w:rsid w:val="004A49EC"/>
    <w:rsid w:val="004A57BB"/>
    <w:rsid w:val="004B1E9C"/>
    <w:rsid w:val="004C53AA"/>
    <w:rsid w:val="004D092C"/>
    <w:rsid w:val="004D320C"/>
    <w:rsid w:val="004E569F"/>
    <w:rsid w:val="004E5793"/>
    <w:rsid w:val="004E6D15"/>
    <w:rsid w:val="004F531A"/>
    <w:rsid w:val="0050207C"/>
    <w:rsid w:val="0051085C"/>
    <w:rsid w:val="00514804"/>
    <w:rsid w:val="005211DD"/>
    <w:rsid w:val="0052574D"/>
    <w:rsid w:val="0052596D"/>
    <w:rsid w:val="005268F3"/>
    <w:rsid w:val="005334FB"/>
    <w:rsid w:val="00537325"/>
    <w:rsid w:val="005449B9"/>
    <w:rsid w:val="00545741"/>
    <w:rsid w:val="00553109"/>
    <w:rsid w:val="00553B66"/>
    <w:rsid w:val="00555BB5"/>
    <w:rsid w:val="00556F17"/>
    <w:rsid w:val="005618C0"/>
    <w:rsid w:val="005622DC"/>
    <w:rsid w:val="00562960"/>
    <w:rsid w:val="005630BF"/>
    <w:rsid w:val="00564F72"/>
    <w:rsid w:val="00581DC1"/>
    <w:rsid w:val="00586B9D"/>
    <w:rsid w:val="005936DA"/>
    <w:rsid w:val="005948B8"/>
    <w:rsid w:val="00595821"/>
    <w:rsid w:val="005A0082"/>
    <w:rsid w:val="005A3C58"/>
    <w:rsid w:val="005A4629"/>
    <w:rsid w:val="005A4EF4"/>
    <w:rsid w:val="005A575A"/>
    <w:rsid w:val="005A6429"/>
    <w:rsid w:val="005A7DDC"/>
    <w:rsid w:val="005B15DC"/>
    <w:rsid w:val="005C0115"/>
    <w:rsid w:val="005C13A1"/>
    <w:rsid w:val="005C2149"/>
    <w:rsid w:val="005D2CED"/>
    <w:rsid w:val="005D500A"/>
    <w:rsid w:val="005F0EEB"/>
    <w:rsid w:val="005F3DD3"/>
    <w:rsid w:val="005F77BB"/>
    <w:rsid w:val="00600637"/>
    <w:rsid w:val="00601A20"/>
    <w:rsid w:val="00604974"/>
    <w:rsid w:val="00610283"/>
    <w:rsid w:val="00611EE9"/>
    <w:rsid w:val="00612A5E"/>
    <w:rsid w:val="006209BA"/>
    <w:rsid w:val="0062352D"/>
    <w:rsid w:val="006236DF"/>
    <w:rsid w:val="006245C3"/>
    <w:rsid w:val="0062646F"/>
    <w:rsid w:val="0063333B"/>
    <w:rsid w:val="00640DDC"/>
    <w:rsid w:val="00652DE6"/>
    <w:rsid w:val="006622A7"/>
    <w:rsid w:val="0067587D"/>
    <w:rsid w:val="00692D14"/>
    <w:rsid w:val="00694FC1"/>
    <w:rsid w:val="006A2F97"/>
    <w:rsid w:val="006A396E"/>
    <w:rsid w:val="006A5803"/>
    <w:rsid w:val="006B1DD9"/>
    <w:rsid w:val="006B545C"/>
    <w:rsid w:val="006B5492"/>
    <w:rsid w:val="006B7880"/>
    <w:rsid w:val="006B79F6"/>
    <w:rsid w:val="006D0F59"/>
    <w:rsid w:val="006D4958"/>
    <w:rsid w:val="006D7FD5"/>
    <w:rsid w:val="006E6786"/>
    <w:rsid w:val="006F1CBC"/>
    <w:rsid w:val="006F250F"/>
    <w:rsid w:val="00705AC3"/>
    <w:rsid w:val="007126F5"/>
    <w:rsid w:val="00713D11"/>
    <w:rsid w:val="00716007"/>
    <w:rsid w:val="00716EE6"/>
    <w:rsid w:val="00717D8A"/>
    <w:rsid w:val="007317EF"/>
    <w:rsid w:val="00743B23"/>
    <w:rsid w:val="00744F40"/>
    <w:rsid w:val="007455C8"/>
    <w:rsid w:val="0075467B"/>
    <w:rsid w:val="00761245"/>
    <w:rsid w:val="007661BE"/>
    <w:rsid w:val="00770418"/>
    <w:rsid w:val="00770B48"/>
    <w:rsid w:val="00771C65"/>
    <w:rsid w:val="007763F0"/>
    <w:rsid w:val="00781F75"/>
    <w:rsid w:val="0079291A"/>
    <w:rsid w:val="00794452"/>
    <w:rsid w:val="00797BFA"/>
    <w:rsid w:val="007A04D0"/>
    <w:rsid w:val="007A6D41"/>
    <w:rsid w:val="007A78C3"/>
    <w:rsid w:val="007B453D"/>
    <w:rsid w:val="007B6852"/>
    <w:rsid w:val="007C01C5"/>
    <w:rsid w:val="007C3824"/>
    <w:rsid w:val="007C492F"/>
    <w:rsid w:val="007C768A"/>
    <w:rsid w:val="007E2D7A"/>
    <w:rsid w:val="007F506A"/>
    <w:rsid w:val="007F5A95"/>
    <w:rsid w:val="0080424E"/>
    <w:rsid w:val="008045A7"/>
    <w:rsid w:val="0080543E"/>
    <w:rsid w:val="00810ADD"/>
    <w:rsid w:val="00815E4D"/>
    <w:rsid w:val="00820051"/>
    <w:rsid w:val="00827769"/>
    <w:rsid w:val="00830A4B"/>
    <w:rsid w:val="0083678F"/>
    <w:rsid w:val="00836C27"/>
    <w:rsid w:val="00836E62"/>
    <w:rsid w:val="00842898"/>
    <w:rsid w:val="00845D2D"/>
    <w:rsid w:val="008540AB"/>
    <w:rsid w:val="0085467A"/>
    <w:rsid w:val="00854E09"/>
    <w:rsid w:val="00863E11"/>
    <w:rsid w:val="00866912"/>
    <w:rsid w:val="008700D6"/>
    <w:rsid w:val="00875B1F"/>
    <w:rsid w:val="00875DA3"/>
    <w:rsid w:val="00884B21"/>
    <w:rsid w:val="00885124"/>
    <w:rsid w:val="00891584"/>
    <w:rsid w:val="00894830"/>
    <w:rsid w:val="008A0C71"/>
    <w:rsid w:val="008A1C66"/>
    <w:rsid w:val="008A5F65"/>
    <w:rsid w:val="008B4A2A"/>
    <w:rsid w:val="008C4344"/>
    <w:rsid w:val="008C4BD3"/>
    <w:rsid w:val="008D228F"/>
    <w:rsid w:val="008D3D0B"/>
    <w:rsid w:val="008D5478"/>
    <w:rsid w:val="008E444A"/>
    <w:rsid w:val="008E5E9D"/>
    <w:rsid w:val="008F149D"/>
    <w:rsid w:val="008F4311"/>
    <w:rsid w:val="008F4924"/>
    <w:rsid w:val="0090026C"/>
    <w:rsid w:val="00904079"/>
    <w:rsid w:val="0090521D"/>
    <w:rsid w:val="00906E15"/>
    <w:rsid w:val="00910471"/>
    <w:rsid w:val="00910B80"/>
    <w:rsid w:val="0091208B"/>
    <w:rsid w:val="009125E4"/>
    <w:rsid w:val="009147C3"/>
    <w:rsid w:val="009178B0"/>
    <w:rsid w:val="009217FC"/>
    <w:rsid w:val="00952C77"/>
    <w:rsid w:val="0095436C"/>
    <w:rsid w:val="00955FD2"/>
    <w:rsid w:val="00956873"/>
    <w:rsid w:val="00960EFB"/>
    <w:rsid w:val="00974E8C"/>
    <w:rsid w:val="00980849"/>
    <w:rsid w:val="00981F5F"/>
    <w:rsid w:val="00994DB6"/>
    <w:rsid w:val="00996523"/>
    <w:rsid w:val="009A683A"/>
    <w:rsid w:val="009B1374"/>
    <w:rsid w:val="009B3F62"/>
    <w:rsid w:val="009C579C"/>
    <w:rsid w:val="009C59AC"/>
    <w:rsid w:val="009C68D9"/>
    <w:rsid w:val="009D1667"/>
    <w:rsid w:val="009D1CF1"/>
    <w:rsid w:val="009E2AC4"/>
    <w:rsid w:val="009E2D2C"/>
    <w:rsid w:val="009E3E71"/>
    <w:rsid w:val="009E3FAA"/>
    <w:rsid w:val="009F0DEE"/>
    <w:rsid w:val="009F6D20"/>
    <w:rsid w:val="00A15779"/>
    <w:rsid w:val="00A26920"/>
    <w:rsid w:val="00A2733C"/>
    <w:rsid w:val="00A30FC7"/>
    <w:rsid w:val="00A32997"/>
    <w:rsid w:val="00A3575D"/>
    <w:rsid w:val="00A409E6"/>
    <w:rsid w:val="00A42318"/>
    <w:rsid w:val="00A46961"/>
    <w:rsid w:val="00A469E6"/>
    <w:rsid w:val="00A51638"/>
    <w:rsid w:val="00A6466E"/>
    <w:rsid w:val="00A71721"/>
    <w:rsid w:val="00A72327"/>
    <w:rsid w:val="00A72459"/>
    <w:rsid w:val="00A74A40"/>
    <w:rsid w:val="00A74B16"/>
    <w:rsid w:val="00A77745"/>
    <w:rsid w:val="00A9433C"/>
    <w:rsid w:val="00A9543F"/>
    <w:rsid w:val="00A95890"/>
    <w:rsid w:val="00AB195F"/>
    <w:rsid w:val="00AB24FB"/>
    <w:rsid w:val="00AB305F"/>
    <w:rsid w:val="00AB4594"/>
    <w:rsid w:val="00AC63EF"/>
    <w:rsid w:val="00AC69A9"/>
    <w:rsid w:val="00AC757B"/>
    <w:rsid w:val="00AD0CC8"/>
    <w:rsid w:val="00AD3D0A"/>
    <w:rsid w:val="00AD4B88"/>
    <w:rsid w:val="00AD62B8"/>
    <w:rsid w:val="00B01906"/>
    <w:rsid w:val="00B04709"/>
    <w:rsid w:val="00B10B68"/>
    <w:rsid w:val="00B21F90"/>
    <w:rsid w:val="00B264DE"/>
    <w:rsid w:val="00B311D7"/>
    <w:rsid w:val="00B32AAC"/>
    <w:rsid w:val="00B351D8"/>
    <w:rsid w:val="00B37899"/>
    <w:rsid w:val="00B43354"/>
    <w:rsid w:val="00B4485F"/>
    <w:rsid w:val="00B47200"/>
    <w:rsid w:val="00B544A3"/>
    <w:rsid w:val="00B562F5"/>
    <w:rsid w:val="00B5769E"/>
    <w:rsid w:val="00B60383"/>
    <w:rsid w:val="00B717F5"/>
    <w:rsid w:val="00B72E2C"/>
    <w:rsid w:val="00B76B8F"/>
    <w:rsid w:val="00B80738"/>
    <w:rsid w:val="00B81F10"/>
    <w:rsid w:val="00B940E9"/>
    <w:rsid w:val="00B94AFC"/>
    <w:rsid w:val="00B951CE"/>
    <w:rsid w:val="00BA5CDB"/>
    <w:rsid w:val="00BB2ADE"/>
    <w:rsid w:val="00BB5532"/>
    <w:rsid w:val="00BC294B"/>
    <w:rsid w:val="00BC4897"/>
    <w:rsid w:val="00BC7E60"/>
    <w:rsid w:val="00BE0569"/>
    <w:rsid w:val="00BE63CD"/>
    <w:rsid w:val="00BF36C6"/>
    <w:rsid w:val="00BF6958"/>
    <w:rsid w:val="00C04E91"/>
    <w:rsid w:val="00C105E8"/>
    <w:rsid w:val="00C252A6"/>
    <w:rsid w:val="00C27A3F"/>
    <w:rsid w:val="00C44529"/>
    <w:rsid w:val="00C45BAA"/>
    <w:rsid w:val="00C55445"/>
    <w:rsid w:val="00C7648A"/>
    <w:rsid w:val="00C829A1"/>
    <w:rsid w:val="00C92354"/>
    <w:rsid w:val="00C9417F"/>
    <w:rsid w:val="00C94D62"/>
    <w:rsid w:val="00CB2D44"/>
    <w:rsid w:val="00CB3654"/>
    <w:rsid w:val="00CB3E33"/>
    <w:rsid w:val="00CC1589"/>
    <w:rsid w:val="00CC4569"/>
    <w:rsid w:val="00CC5969"/>
    <w:rsid w:val="00CD0B39"/>
    <w:rsid w:val="00CE5011"/>
    <w:rsid w:val="00CF5C51"/>
    <w:rsid w:val="00D045F3"/>
    <w:rsid w:val="00D0694D"/>
    <w:rsid w:val="00D2378A"/>
    <w:rsid w:val="00D34993"/>
    <w:rsid w:val="00D35F62"/>
    <w:rsid w:val="00D424FA"/>
    <w:rsid w:val="00D45366"/>
    <w:rsid w:val="00D479EB"/>
    <w:rsid w:val="00D500DC"/>
    <w:rsid w:val="00D507F7"/>
    <w:rsid w:val="00D672CA"/>
    <w:rsid w:val="00D71A7D"/>
    <w:rsid w:val="00D729A8"/>
    <w:rsid w:val="00D75587"/>
    <w:rsid w:val="00D94F74"/>
    <w:rsid w:val="00D96DEF"/>
    <w:rsid w:val="00DA0F86"/>
    <w:rsid w:val="00DA1953"/>
    <w:rsid w:val="00DA7779"/>
    <w:rsid w:val="00DB5FEF"/>
    <w:rsid w:val="00DB6F08"/>
    <w:rsid w:val="00DC205A"/>
    <w:rsid w:val="00DC6919"/>
    <w:rsid w:val="00DC6F37"/>
    <w:rsid w:val="00DD1F71"/>
    <w:rsid w:val="00DD30B1"/>
    <w:rsid w:val="00DD54E3"/>
    <w:rsid w:val="00DE0C2D"/>
    <w:rsid w:val="00DE56BE"/>
    <w:rsid w:val="00DE591F"/>
    <w:rsid w:val="00DE64E3"/>
    <w:rsid w:val="00DE70C7"/>
    <w:rsid w:val="00DF3EE5"/>
    <w:rsid w:val="00DF69CE"/>
    <w:rsid w:val="00E142BF"/>
    <w:rsid w:val="00E14A17"/>
    <w:rsid w:val="00E311B0"/>
    <w:rsid w:val="00E40EE7"/>
    <w:rsid w:val="00E42E88"/>
    <w:rsid w:val="00E56D27"/>
    <w:rsid w:val="00E6140B"/>
    <w:rsid w:val="00E70D97"/>
    <w:rsid w:val="00E95E60"/>
    <w:rsid w:val="00EA0463"/>
    <w:rsid w:val="00EA153E"/>
    <w:rsid w:val="00EB0CF6"/>
    <w:rsid w:val="00EB7AAD"/>
    <w:rsid w:val="00EC1E2C"/>
    <w:rsid w:val="00EC3C0A"/>
    <w:rsid w:val="00EC550C"/>
    <w:rsid w:val="00ED11C0"/>
    <w:rsid w:val="00ED4951"/>
    <w:rsid w:val="00ED4FEB"/>
    <w:rsid w:val="00ED7E46"/>
    <w:rsid w:val="00EE502A"/>
    <w:rsid w:val="00EE525F"/>
    <w:rsid w:val="00EE5519"/>
    <w:rsid w:val="00EE65C5"/>
    <w:rsid w:val="00EF1EFE"/>
    <w:rsid w:val="00EF5583"/>
    <w:rsid w:val="00EF76E6"/>
    <w:rsid w:val="00F00247"/>
    <w:rsid w:val="00F02B05"/>
    <w:rsid w:val="00F04548"/>
    <w:rsid w:val="00F05F91"/>
    <w:rsid w:val="00F07F71"/>
    <w:rsid w:val="00F267E8"/>
    <w:rsid w:val="00F306F5"/>
    <w:rsid w:val="00F32289"/>
    <w:rsid w:val="00F333AC"/>
    <w:rsid w:val="00F337DE"/>
    <w:rsid w:val="00F60214"/>
    <w:rsid w:val="00F6497C"/>
    <w:rsid w:val="00F74F05"/>
    <w:rsid w:val="00F8510E"/>
    <w:rsid w:val="00F86319"/>
    <w:rsid w:val="00FA2689"/>
    <w:rsid w:val="00FA7334"/>
    <w:rsid w:val="00FB16FB"/>
    <w:rsid w:val="00FB3DEF"/>
    <w:rsid w:val="00FC4618"/>
    <w:rsid w:val="00FC5EAE"/>
    <w:rsid w:val="00FC7B32"/>
    <w:rsid w:val="00FD365A"/>
    <w:rsid w:val="00FE30D9"/>
    <w:rsid w:val="00FE3BFA"/>
    <w:rsid w:val="00FE3CD8"/>
    <w:rsid w:val="00FE6F43"/>
    <w:rsid w:val="00FE7A6C"/>
    <w:rsid w:val="00FF0CE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653D0A8E"/>
  <w15:docId w15:val="{6499429A-D68F-4269-B8DE-0EAFF8D7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22E"/>
  </w:style>
  <w:style w:type="paragraph" w:styleId="Heading1">
    <w:name w:val="heading 1"/>
    <w:basedOn w:val="Normal"/>
    <w:next w:val="Normal"/>
    <w:link w:val="Heading1Char"/>
    <w:qFormat/>
    <w:rsid w:val="00F337DE"/>
    <w:pPr>
      <w:keepNext/>
      <w:spacing w:after="0" w:line="240" w:lineRule="auto"/>
      <w:jc w:val="center"/>
      <w:outlineLvl w:val="0"/>
    </w:pPr>
    <w:rPr>
      <w:rFonts w:ascii="Times New Roman" w:eastAsia="Times New Roman" w:hAnsi="Times New Roman" w:cs="Times New Roman"/>
      <w:b/>
      <w:bCs/>
      <w:sz w:val="28"/>
      <w:szCs w:val="15"/>
      <w:lang w:val="en-US" w:eastAsia="ro-RO"/>
    </w:rPr>
  </w:style>
  <w:style w:type="paragraph" w:styleId="Heading2">
    <w:name w:val="heading 2"/>
    <w:basedOn w:val="Normal"/>
    <w:next w:val="Normal"/>
    <w:link w:val="Heading2Char"/>
    <w:uiPriority w:val="9"/>
    <w:unhideWhenUsed/>
    <w:qFormat/>
    <w:rsid w:val="00F337DE"/>
    <w:pPr>
      <w:keepNext/>
      <w:keepLines/>
      <w:widowControl w:val="0"/>
      <w:autoSpaceDE w:val="0"/>
      <w:autoSpaceDN w:val="0"/>
      <w:adjustRightInd w:val="0"/>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337DE"/>
    <w:pPr>
      <w:keepNext/>
      <w:keepLines/>
      <w:widowControl w:val="0"/>
      <w:autoSpaceDE w:val="0"/>
      <w:autoSpaceDN w:val="0"/>
      <w:adjustRightInd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9"/>
    <w:unhideWhenUsed/>
    <w:qFormat/>
    <w:rsid w:val="00F337DE"/>
    <w:pPr>
      <w:keepNext/>
      <w:spacing w:before="240" w:after="60" w:line="240" w:lineRule="auto"/>
      <w:outlineLvl w:val="3"/>
    </w:pPr>
    <w:rPr>
      <w:rFonts w:ascii="Calibri" w:eastAsia="Times New Roman" w:hAnsi="Calibri" w:cs="Times New Roman"/>
      <w:b/>
      <w:bCs/>
      <w:sz w:val="28"/>
      <w:szCs w:val="28"/>
      <w:lang w:val="en-AU"/>
    </w:rPr>
  </w:style>
  <w:style w:type="paragraph" w:styleId="Heading5">
    <w:name w:val="heading 5"/>
    <w:basedOn w:val="Normal"/>
    <w:next w:val="Normal"/>
    <w:link w:val="Heading5Char"/>
    <w:qFormat/>
    <w:rsid w:val="00F337DE"/>
    <w:pPr>
      <w:keepNext/>
      <w:spacing w:after="0" w:line="240" w:lineRule="auto"/>
      <w:jc w:val="center"/>
      <w:outlineLvl w:val="4"/>
    </w:pPr>
    <w:rPr>
      <w:rFonts w:ascii="Times New Roman" w:eastAsia="Times New Roman" w:hAnsi="Times New Roman" w:cs="Times New Roman"/>
      <w:bCs/>
      <w:color w:val="000000"/>
      <w:sz w:val="32"/>
      <w:szCs w:val="24"/>
    </w:rPr>
  </w:style>
  <w:style w:type="paragraph" w:styleId="Heading6">
    <w:name w:val="heading 6"/>
    <w:basedOn w:val="Normal"/>
    <w:next w:val="Normal"/>
    <w:link w:val="Heading6Char"/>
    <w:semiHidden/>
    <w:unhideWhenUsed/>
    <w:qFormat/>
    <w:rsid w:val="00F337DE"/>
    <w:pPr>
      <w:spacing w:before="240" w:after="60" w:line="240" w:lineRule="auto"/>
      <w:outlineLvl w:val="5"/>
    </w:pPr>
    <w:rPr>
      <w:rFonts w:ascii="Calibri" w:eastAsia="Times New Roman" w:hAnsi="Calibri" w:cs="Times New Roman"/>
      <w:b/>
      <w:bCs/>
      <w:lang w:val="en-AU"/>
    </w:rPr>
  </w:style>
  <w:style w:type="paragraph" w:styleId="Heading7">
    <w:name w:val="heading 7"/>
    <w:basedOn w:val="Normal"/>
    <w:next w:val="Normal"/>
    <w:link w:val="Heading7Char"/>
    <w:unhideWhenUsed/>
    <w:qFormat/>
    <w:rsid w:val="00F337DE"/>
    <w:pPr>
      <w:spacing w:before="240" w:after="60" w:line="240" w:lineRule="auto"/>
      <w:outlineLvl w:val="6"/>
    </w:pPr>
    <w:rPr>
      <w:rFonts w:ascii="Calibri" w:eastAsia="Times New Roman" w:hAnsi="Calibri" w:cs="Times New Roman"/>
      <w:sz w:val="24"/>
      <w:szCs w:val="24"/>
      <w:lang w:val="en-AU"/>
    </w:rPr>
  </w:style>
  <w:style w:type="paragraph" w:styleId="Heading8">
    <w:name w:val="heading 8"/>
    <w:basedOn w:val="Normal"/>
    <w:next w:val="Normal"/>
    <w:link w:val="Heading8Char"/>
    <w:unhideWhenUsed/>
    <w:qFormat/>
    <w:rsid w:val="00F337DE"/>
    <w:pPr>
      <w:spacing w:before="240" w:after="60" w:line="240" w:lineRule="auto"/>
      <w:outlineLvl w:val="7"/>
    </w:pPr>
    <w:rPr>
      <w:rFonts w:ascii="Calibri" w:eastAsia="Times New Roman" w:hAnsi="Calibri" w:cs="Times New Roman"/>
      <w:i/>
      <w:iCs/>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37DE"/>
    <w:rPr>
      <w:rFonts w:ascii="Times New Roman" w:eastAsia="Times New Roman" w:hAnsi="Times New Roman" w:cs="Times New Roman"/>
      <w:b/>
      <w:bCs/>
      <w:sz w:val="28"/>
      <w:szCs w:val="15"/>
      <w:lang w:val="en-US" w:eastAsia="ro-RO"/>
    </w:rPr>
  </w:style>
  <w:style w:type="character" w:customStyle="1" w:styleId="Heading2Char">
    <w:name w:val="Heading 2 Char"/>
    <w:basedOn w:val="DefaultParagraphFont"/>
    <w:link w:val="Heading2"/>
    <w:uiPriority w:val="9"/>
    <w:rsid w:val="00F337D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337D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9"/>
    <w:rsid w:val="00F337DE"/>
    <w:rPr>
      <w:rFonts w:ascii="Calibri" w:eastAsia="Times New Roman" w:hAnsi="Calibri" w:cs="Times New Roman"/>
      <w:b/>
      <w:bCs/>
      <w:sz w:val="28"/>
      <w:szCs w:val="28"/>
      <w:lang w:val="en-AU"/>
    </w:rPr>
  </w:style>
  <w:style w:type="character" w:customStyle="1" w:styleId="Heading5Char">
    <w:name w:val="Heading 5 Char"/>
    <w:basedOn w:val="DefaultParagraphFont"/>
    <w:link w:val="Heading5"/>
    <w:rsid w:val="00F337DE"/>
    <w:rPr>
      <w:rFonts w:ascii="Times New Roman" w:eastAsia="Times New Roman" w:hAnsi="Times New Roman" w:cs="Times New Roman"/>
      <w:bCs/>
      <w:color w:val="000000"/>
      <w:sz w:val="32"/>
      <w:szCs w:val="24"/>
    </w:rPr>
  </w:style>
  <w:style w:type="character" w:customStyle="1" w:styleId="Heading6Char">
    <w:name w:val="Heading 6 Char"/>
    <w:basedOn w:val="DefaultParagraphFont"/>
    <w:link w:val="Heading6"/>
    <w:semiHidden/>
    <w:rsid w:val="00F337DE"/>
    <w:rPr>
      <w:rFonts w:ascii="Calibri" w:eastAsia="Times New Roman" w:hAnsi="Calibri" w:cs="Times New Roman"/>
      <w:b/>
      <w:bCs/>
      <w:lang w:val="en-AU"/>
    </w:rPr>
  </w:style>
  <w:style w:type="character" w:customStyle="1" w:styleId="Heading7Char">
    <w:name w:val="Heading 7 Char"/>
    <w:basedOn w:val="DefaultParagraphFont"/>
    <w:link w:val="Heading7"/>
    <w:rsid w:val="00F337DE"/>
    <w:rPr>
      <w:rFonts w:ascii="Calibri" w:eastAsia="Times New Roman" w:hAnsi="Calibri" w:cs="Times New Roman"/>
      <w:sz w:val="24"/>
      <w:szCs w:val="24"/>
      <w:lang w:val="en-AU"/>
    </w:rPr>
  </w:style>
  <w:style w:type="character" w:customStyle="1" w:styleId="Heading8Char">
    <w:name w:val="Heading 8 Char"/>
    <w:basedOn w:val="DefaultParagraphFont"/>
    <w:link w:val="Heading8"/>
    <w:rsid w:val="00F337DE"/>
    <w:rPr>
      <w:rFonts w:ascii="Calibri" w:eastAsia="Times New Roman" w:hAnsi="Calibri" w:cs="Times New Roman"/>
      <w:i/>
      <w:iCs/>
      <w:sz w:val="24"/>
      <w:szCs w:val="24"/>
      <w:lang w:val="en-AU"/>
    </w:rPr>
  </w:style>
  <w:style w:type="paragraph" w:customStyle="1" w:styleId="CAPITOL">
    <w:name w:val="CAPITOL"/>
    <w:basedOn w:val="BodyText"/>
    <w:rsid w:val="00F337DE"/>
    <w:pPr>
      <w:widowControl/>
      <w:autoSpaceDE/>
      <w:autoSpaceDN/>
      <w:adjustRightInd/>
      <w:spacing w:before="600" w:after="400"/>
      <w:jc w:val="center"/>
    </w:pPr>
    <w:rPr>
      <w:rFonts w:ascii="Avalon Rom" w:eastAsia="Times New Roman" w:hAnsi="Avalon Rom" w:cs="Times New Roman"/>
      <w:b/>
      <w:sz w:val="26"/>
      <w:szCs w:val="26"/>
    </w:rPr>
  </w:style>
  <w:style w:type="character" w:customStyle="1" w:styleId="mmmmm">
    <w:name w:val="mmmmm"/>
    <w:basedOn w:val="DefaultParagraphFont"/>
    <w:rsid w:val="00F337DE"/>
  </w:style>
  <w:style w:type="paragraph" w:styleId="NoSpacing">
    <w:name w:val="No Spacing"/>
    <w:uiPriority w:val="1"/>
    <w:qFormat/>
    <w:rsid w:val="00F337DE"/>
    <w:pPr>
      <w:spacing w:after="0" w:line="240" w:lineRule="auto"/>
    </w:pPr>
    <w:rPr>
      <w:rFonts w:ascii="Garamond" w:eastAsia="Times New Roman" w:hAnsi="Garamond" w:cs="Times New Roman"/>
      <w:sz w:val="24"/>
      <w:szCs w:val="20"/>
    </w:rPr>
  </w:style>
  <w:style w:type="paragraph" w:styleId="BodyText">
    <w:name w:val="Body Text"/>
    <w:aliases w:val="Char1, Char1"/>
    <w:basedOn w:val="Normal"/>
    <w:link w:val="BodyTextChar"/>
    <w:unhideWhenUsed/>
    <w:rsid w:val="00F337DE"/>
    <w:pPr>
      <w:widowControl w:val="0"/>
      <w:autoSpaceDE w:val="0"/>
      <w:autoSpaceDN w:val="0"/>
      <w:adjustRightInd w:val="0"/>
      <w:spacing w:after="120" w:line="240" w:lineRule="auto"/>
    </w:pPr>
    <w:rPr>
      <w:rFonts w:ascii="Arial" w:eastAsia="Calibri" w:hAnsi="Arial" w:cs="Arial"/>
      <w:sz w:val="20"/>
      <w:szCs w:val="20"/>
    </w:rPr>
  </w:style>
  <w:style w:type="character" w:customStyle="1" w:styleId="BodyTextChar">
    <w:name w:val="Body Text Char"/>
    <w:aliases w:val="Char1 Char, Char1 Char"/>
    <w:basedOn w:val="DefaultParagraphFont"/>
    <w:link w:val="BodyText"/>
    <w:rsid w:val="00F337DE"/>
    <w:rPr>
      <w:rFonts w:ascii="Arial" w:eastAsia="Calibri" w:hAnsi="Arial" w:cs="Arial"/>
      <w:sz w:val="20"/>
      <w:szCs w:val="20"/>
    </w:rPr>
  </w:style>
  <w:style w:type="paragraph" w:styleId="ListParagraph">
    <w:name w:val="List Paragraph"/>
    <w:basedOn w:val="Normal"/>
    <w:uiPriority w:val="34"/>
    <w:qFormat/>
    <w:rsid w:val="00F337DE"/>
    <w:pPr>
      <w:widowControl w:val="0"/>
      <w:autoSpaceDE w:val="0"/>
      <w:autoSpaceDN w:val="0"/>
      <w:adjustRightInd w:val="0"/>
      <w:spacing w:after="0" w:line="240" w:lineRule="auto"/>
      <w:ind w:left="720"/>
      <w:contextualSpacing/>
    </w:pPr>
    <w:rPr>
      <w:rFonts w:ascii="Arial" w:eastAsia="Calibri" w:hAnsi="Arial" w:cs="Arial"/>
      <w:sz w:val="20"/>
      <w:szCs w:val="20"/>
    </w:rPr>
  </w:style>
  <w:style w:type="character" w:styleId="Hyperlink">
    <w:name w:val="Hyperlink"/>
    <w:uiPriority w:val="99"/>
    <w:unhideWhenUsed/>
    <w:rsid w:val="00F337DE"/>
    <w:rPr>
      <w:color w:val="0000FF"/>
      <w:u w:val="single"/>
    </w:rPr>
  </w:style>
  <w:style w:type="paragraph" w:styleId="Header">
    <w:name w:val="header"/>
    <w:aliases w:val=" Char Char Char,Char Char Char Char,Char Char Char Char Char Char Char Char,Char Char Char, Char Char,Char Char Char Char Char Char Char Char Char Char Char Char Char Char,Char Char Char Char Char Char Char Char Char Char Char Char Char,Char Char"/>
    <w:basedOn w:val="Normal"/>
    <w:link w:val="HeaderChar"/>
    <w:uiPriority w:val="99"/>
    <w:unhideWhenUsed/>
    <w:rsid w:val="00F337DE"/>
    <w:pPr>
      <w:widowControl w:val="0"/>
      <w:tabs>
        <w:tab w:val="center" w:pos="4680"/>
        <w:tab w:val="right" w:pos="9360"/>
      </w:tabs>
      <w:autoSpaceDE w:val="0"/>
      <w:autoSpaceDN w:val="0"/>
      <w:adjustRightInd w:val="0"/>
      <w:spacing w:after="0" w:line="240" w:lineRule="auto"/>
    </w:pPr>
    <w:rPr>
      <w:rFonts w:ascii="Arial" w:eastAsia="Calibri" w:hAnsi="Arial" w:cs="Arial"/>
      <w:sz w:val="20"/>
      <w:szCs w:val="20"/>
    </w:rPr>
  </w:style>
  <w:style w:type="character" w:customStyle="1" w:styleId="HeaderChar">
    <w:name w:val="Header Char"/>
    <w:aliases w:val=" Char Char Char Char,Char Char Char Char Char,Char Char Char Char Char Char Char Char Char,Char Char Char Char1, Char Char Char1,Char Char Char Char Char Char Char Char Char Char Char Char Char Char Char,Char Char Char1"/>
    <w:basedOn w:val="DefaultParagraphFont"/>
    <w:link w:val="Header"/>
    <w:uiPriority w:val="99"/>
    <w:rsid w:val="00F337DE"/>
    <w:rPr>
      <w:rFonts w:ascii="Arial" w:eastAsia="Calibri" w:hAnsi="Arial" w:cs="Arial"/>
      <w:sz w:val="20"/>
      <w:szCs w:val="20"/>
    </w:rPr>
  </w:style>
  <w:style w:type="paragraph" w:styleId="Footer">
    <w:name w:val="footer"/>
    <w:basedOn w:val="Normal"/>
    <w:link w:val="FooterChar"/>
    <w:unhideWhenUsed/>
    <w:rsid w:val="00F337DE"/>
    <w:pPr>
      <w:widowControl w:val="0"/>
      <w:tabs>
        <w:tab w:val="center" w:pos="4680"/>
        <w:tab w:val="right" w:pos="9360"/>
      </w:tabs>
      <w:autoSpaceDE w:val="0"/>
      <w:autoSpaceDN w:val="0"/>
      <w:adjustRightInd w:val="0"/>
      <w:spacing w:after="0" w:line="240" w:lineRule="auto"/>
    </w:pPr>
    <w:rPr>
      <w:rFonts w:ascii="Arial" w:eastAsia="Calibri" w:hAnsi="Arial" w:cs="Arial"/>
      <w:sz w:val="20"/>
      <w:szCs w:val="20"/>
    </w:rPr>
  </w:style>
  <w:style w:type="character" w:customStyle="1" w:styleId="FooterChar">
    <w:name w:val="Footer Char"/>
    <w:basedOn w:val="DefaultParagraphFont"/>
    <w:link w:val="Footer"/>
    <w:rsid w:val="00F337DE"/>
    <w:rPr>
      <w:rFonts w:ascii="Arial" w:eastAsia="Calibri" w:hAnsi="Arial" w:cs="Arial"/>
      <w:sz w:val="20"/>
      <w:szCs w:val="20"/>
    </w:rPr>
  </w:style>
  <w:style w:type="paragraph" w:styleId="NormalWeb">
    <w:name w:val="Normal (Web)"/>
    <w:basedOn w:val="Normal"/>
    <w:link w:val="NormalWebChar"/>
    <w:uiPriority w:val="99"/>
    <w:rsid w:val="00F337DE"/>
    <w:pPr>
      <w:spacing w:after="200" w:line="276" w:lineRule="auto"/>
    </w:pPr>
    <w:rPr>
      <w:rFonts w:ascii="Times New Roman" w:eastAsia="Calibri" w:hAnsi="Times New Roman" w:cs="Times New Roman"/>
      <w:sz w:val="24"/>
      <w:szCs w:val="24"/>
      <w:lang w:val="en-US"/>
    </w:rPr>
  </w:style>
  <w:style w:type="character" w:styleId="Strong">
    <w:name w:val="Strong"/>
    <w:basedOn w:val="DefaultParagraphFont"/>
    <w:uiPriority w:val="22"/>
    <w:qFormat/>
    <w:rsid w:val="00F337DE"/>
    <w:rPr>
      <w:b/>
      <w:bCs/>
    </w:rPr>
  </w:style>
  <w:style w:type="character" w:styleId="Emphasis">
    <w:name w:val="Emphasis"/>
    <w:qFormat/>
    <w:rsid w:val="00F337DE"/>
    <w:rPr>
      <w:i/>
      <w:iCs/>
    </w:rPr>
  </w:style>
  <w:style w:type="paragraph" w:customStyle="1" w:styleId="Standard">
    <w:name w:val="Standard"/>
    <w:rsid w:val="00F337DE"/>
    <w:pPr>
      <w:suppressAutoHyphens/>
      <w:autoSpaceDN w:val="0"/>
      <w:spacing w:after="200" w:line="276" w:lineRule="auto"/>
      <w:textAlignment w:val="baseline"/>
    </w:pPr>
    <w:rPr>
      <w:rFonts w:ascii="Calibri" w:eastAsia="Calibri" w:hAnsi="Calibri" w:cs="Times New Roman"/>
      <w:kern w:val="3"/>
    </w:rPr>
  </w:style>
  <w:style w:type="paragraph" w:customStyle="1" w:styleId="Textbody">
    <w:name w:val="Text body"/>
    <w:basedOn w:val="Standard"/>
    <w:rsid w:val="00F337DE"/>
    <w:pPr>
      <w:spacing w:after="120"/>
    </w:pPr>
  </w:style>
  <w:style w:type="character" w:customStyle="1" w:styleId="rvts10">
    <w:name w:val="rvts10"/>
    <w:rsid w:val="00F337DE"/>
  </w:style>
  <w:style w:type="character" w:customStyle="1" w:styleId="StrongEmphasis">
    <w:name w:val="Strong Emphasis"/>
    <w:rsid w:val="00F337DE"/>
    <w:rPr>
      <w:b/>
      <w:bCs/>
    </w:rPr>
  </w:style>
  <w:style w:type="character" w:customStyle="1" w:styleId="FontStyle13">
    <w:name w:val="Font Style13"/>
    <w:rsid w:val="00F337DE"/>
    <w:rPr>
      <w:rFonts w:ascii="Times New Roman" w:hAnsi="Times New Roman" w:cs="Times New Roman" w:hint="default"/>
      <w:sz w:val="26"/>
      <w:szCs w:val="26"/>
    </w:rPr>
  </w:style>
  <w:style w:type="character" w:customStyle="1" w:styleId="BalloonTextChar">
    <w:name w:val="Balloon Text Char"/>
    <w:basedOn w:val="DefaultParagraphFont"/>
    <w:link w:val="BalloonText"/>
    <w:uiPriority w:val="99"/>
    <w:rsid w:val="00F337DE"/>
    <w:rPr>
      <w:rFonts w:ascii="Segoe UI" w:eastAsia="Times New Roman" w:hAnsi="Segoe UI" w:cs="Segoe UI"/>
      <w:sz w:val="18"/>
      <w:szCs w:val="18"/>
    </w:rPr>
  </w:style>
  <w:style w:type="paragraph" w:styleId="BalloonText">
    <w:name w:val="Balloon Text"/>
    <w:basedOn w:val="Normal"/>
    <w:link w:val="BalloonTextChar"/>
    <w:uiPriority w:val="99"/>
    <w:unhideWhenUsed/>
    <w:rsid w:val="00F337DE"/>
    <w:pPr>
      <w:spacing w:after="0" w:line="240" w:lineRule="auto"/>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F337DE"/>
    <w:rPr>
      <w:rFonts w:ascii="Segoe UI" w:hAnsi="Segoe UI" w:cs="Segoe UI"/>
      <w:sz w:val="18"/>
      <w:szCs w:val="18"/>
    </w:rPr>
  </w:style>
  <w:style w:type="character" w:customStyle="1" w:styleId="l5def1">
    <w:name w:val="l5def1"/>
    <w:rsid w:val="00F337DE"/>
    <w:rPr>
      <w:rFonts w:ascii="Arial" w:hAnsi="Arial" w:cs="Arial" w:hint="default"/>
      <w:color w:val="000000"/>
      <w:sz w:val="26"/>
      <w:szCs w:val="26"/>
    </w:rPr>
  </w:style>
  <w:style w:type="character" w:styleId="PageNumber">
    <w:name w:val="page number"/>
    <w:basedOn w:val="DefaultParagraphFont"/>
    <w:rsid w:val="00F337DE"/>
  </w:style>
  <w:style w:type="character" w:customStyle="1" w:styleId="listasedintaprint2numeparte1">
    <w:name w:val="listasedintaprint2_numeparte1"/>
    <w:rsid w:val="00F337DE"/>
    <w:rPr>
      <w:rFonts w:ascii="Arial" w:hAnsi="Arial" w:cs="Arial" w:hint="default"/>
      <w:sz w:val="24"/>
      <w:szCs w:val="24"/>
    </w:rPr>
  </w:style>
  <w:style w:type="character" w:customStyle="1" w:styleId="FontStyle24">
    <w:name w:val="Font Style24"/>
    <w:uiPriority w:val="99"/>
    <w:rsid w:val="00F337DE"/>
    <w:rPr>
      <w:rFonts w:ascii="Arial" w:hAnsi="Arial" w:cs="Arial" w:hint="default"/>
      <w:sz w:val="24"/>
      <w:szCs w:val="24"/>
    </w:rPr>
  </w:style>
  <w:style w:type="character" w:customStyle="1" w:styleId="FontStyle25">
    <w:name w:val="Font Style25"/>
    <w:rsid w:val="00F337DE"/>
    <w:rPr>
      <w:rFonts w:ascii="Arial" w:hAnsi="Arial" w:cs="Arial" w:hint="default"/>
      <w:b/>
      <w:bCs/>
      <w:sz w:val="24"/>
      <w:szCs w:val="24"/>
    </w:rPr>
  </w:style>
  <w:style w:type="character" w:customStyle="1" w:styleId="FontStyle36">
    <w:name w:val="Font Style36"/>
    <w:rsid w:val="00F337DE"/>
    <w:rPr>
      <w:rFonts w:ascii="Garamond" w:hAnsi="Garamond" w:cs="Garamond" w:hint="default"/>
      <w:sz w:val="26"/>
      <w:szCs w:val="26"/>
    </w:rPr>
  </w:style>
  <w:style w:type="character" w:customStyle="1" w:styleId="l5def2">
    <w:name w:val="l5def2"/>
    <w:rsid w:val="00F337DE"/>
    <w:rPr>
      <w:rFonts w:ascii="Arial" w:hAnsi="Arial" w:cs="Arial" w:hint="default"/>
      <w:color w:val="000000"/>
      <w:sz w:val="26"/>
      <w:szCs w:val="26"/>
    </w:rPr>
  </w:style>
  <w:style w:type="paragraph" w:customStyle="1" w:styleId="Frspaiere1">
    <w:name w:val="Fără spațiere1"/>
    <w:qFormat/>
    <w:rsid w:val="00F337DE"/>
    <w:pPr>
      <w:spacing w:after="0" w:line="240" w:lineRule="auto"/>
    </w:pPr>
    <w:rPr>
      <w:rFonts w:ascii="Calibri" w:eastAsia="Times New Roman" w:hAnsi="Calibri" w:cs="Calibri"/>
      <w:lang w:val="en-US"/>
    </w:rPr>
  </w:style>
  <w:style w:type="character" w:customStyle="1" w:styleId="BodyTextChar1">
    <w:name w:val="Body Text Char1"/>
    <w:basedOn w:val="DefaultParagraphFont"/>
    <w:semiHidden/>
    <w:rsid w:val="00F337DE"/>
    <w:rPr>
      <w:rFonts w:ascii="Garamond" w:hAnsi="Garamond"/>
      <w:sz w:val="24"/>
      <w:lang w:val="en-AU"/>
    </w:rPr>
  </w:style>
  <w:style w:type="paragraph" w:styleId="BodyTextIndent">
    <w:name w:val="Body Text Indent"/>
    <w:basedOn w:val="Normal"/>
    <w:link w:val="BodyTextIndentChar"/>
    <w:rsid w:val="00F337DE"/>
    <w:pPr>
      <w:spacing w:after="120" w:line="240" w:lineRule="auto"/>
      <w:ind w:left="360"/>
    </w:pPr>
    <w:rPr>
      <w:rFonts w:ascii="Garamond" w:eastAsia="Times New Roman" w:hAnsi="Garamond" w:cs="Times New Roman"/>
      <w:sz w:val="24"/>
      <w:szCs w:val="20"/>
      <w:lang w:val="en-AU"/>
    </w:rPr>
  </w:style>
  <w:style w:type="character" w:customStyle="1" w:styleId="BodyTextIndentChar">
    <w:name w:val="Body Text Indent Char"/>
    <w:basedOn w:val="DefaultParagraphFont"/>
    <w:link w:val="BodyTextIndent"/>
    <w:rsid w:val="00F337DE"/>
    <w:rPr>
      <w:rFonts w:ascii="Garamond" w:eastAsia="Times New Roman" w:hAnsi="Garamond" w:cs="Times New Roman"/>
      <w:sz w:val="24"/>
      <w:szCs w:val="20"/>
      <w:lang w:val="en-AU"/>
    </w:rPr>
  </w:style>
  <w:style w:type="paragraph" w:styleId="Title">
    <w:name w:val="Title"/>
    <w:basedOn w:val="Normal"/>
    <w:link w:val="TitleChar"/>
    <w:qFormat/>
    <w:rsid w:val="00F337DE"/>
    <w:pPr>
      <w:spacing w:after="0" w:line="240" w:lineRule="auto"/>
      <w:jc w:val="center"/>
    </w:pPr>
    <w:rPr>
      <w:rFonts w:ascii="Arial" w:eastAsia="Times New Roman" w:hAnsi="Arial" w:cs="Arial"/>
      <w:b/>
      <w:bCs/>
      <w:sz w:val="28"/>
      <w:szCs w:val="28"/>
    </w:rPr>
  </w:style>
  <w:style w:type="character" w:customStyle="1" w:styleId="TitleChar">
    <w:name w:val="Title Char"/>
    <w:basedOn w:val="DefaultParagraphFont"/>
    <w:link w:val="Title"/>
    <w:rsid w:val="00F337DE"/>
    <w:rPr>
      <w:rFonts w:ascii="Arial" w:eastAsia="Times New Roman" w:hAnsi="Arial" w:cs="Arial"/>
      <w:b/>
      <w:bCs/>
      <w:sz w:val="28"/>
      <w:szCs w:val="28"/>
    </w:rPr>
  </w:style>
  <w:style w:type="paragraph" w:customStyle="1" w:styleId="CaracterCaracterCaracterCharCharCaracterCaracterCaracterCaracterCaracterCaracterCharCharCaracterCaracterCaracterCaracterCharCharCaracterCaracterChar">
    <w:name w:val="Caracter Caracter Caracter Char Char Caracter Caracter Caracter Caracter Caracter Caracter Char Char Caracter Caracter Caracter Caracter Char Char Caracter Caracter Char"/>
    <w:basedOn w:val="Normal"/>
    <w:rsid w:val="00F337DE"/>
    <w:pPr>
      <w:spacing w:after="0" w:line="240" w:lineRule="auto"/>
    </w:pPr>
    <w:rPr>
      <w:rFonts w:ascii="Arial" w:eastAsia="Times New Roman" w:hAnsi="Arial" w:cs="Times New Roman"/>
      <w:sz w:val="28"/>
      <w:szCs w:val="20"/>
      <w:lang w:val="pl-PL" w:eastAsia="pl-PL"/>
    </w:rPr>
  </w:style>
  <w:style w:type="paragraph" w:customStyle="1" w:styleId="BodyText1">
    <w:name w:val="Body Text1"/>
    <w:basedOn w:val="Normal"/>
    <w:rsid w:val="00F337DE"/>
    <w:pPr>
      <w:widowControl w:val="0"/>
      <w:spacing w:after="0" w:line="288" w:lineRule="auto"/>
    </w:pPr>
    <w:rPr>
      <w:rFonts w:ascii="Times New Roman" w:eastAsia="Times New Roman" w:hAnsi="Times New Roman" w:cs="Times New Roman"/>
      <w:sz w:val="24"/>
      <w:szCs w:val="20"/>
      <w:lang w:eastAsia="ro-RO"/>
    </w:rPr>
  </w:style>
  <w:style w:type="character" w:customStyle="1" w:styleId="punct1">
    <w:name w:val="punct1"/>
    <w:rsid w:val="00F337DE"/>
    <w:rPr>
      <w:b/>
      <w:bCs/>
      <w:color w:val="000000"/>
    </w:rPr>
  </w:style>
  <w:style w:type="character" w:customStyle="1" w:styleId="articol1">
    <w:name w:val="articol1"/>
    <w:rsid w:val="00F337DE"/>
    <w:rPr>
      <w:b/>
      <w:bCs/>
      <w:color w:val="009500"/>
    </w:rPr>
  </w:style>
  <w:style w:type="paragraph" w:styleId="BodyTextIndent2">
    <w:name w:val="Body Text Indent 2"/>
    <w:basedOn w:val="Normal"/>
    <w:link w:val="BodyTextIndent2Char"/>
    <w:rsid w:val="00F337DE"/>
    <w:pPr>
      <w:spacing w:after="120" w:line="480" w:lineRule="auto"/>
      <w:ind w:left="360"/>
    </w:pPr>
    <w:rPr>
      <w:rFonts w:ascii="Garamond" w:eastAsia="Times New Roman" w:hAnsi="Garamond" w:cs="Times New Roman"/>
      <w:sz w:val="24"/>
      <w:szCs w:val="20"/>
      <w:lang w:val="en-AU"/>
    </w:rPr>
  </w:style>
  <w:style w:type="character" w:customStyle="1" w:styleId="BodyTextIndent2Char">
    <w:name w:val="Body Text Indent 2 Char"/>
    <w:basedOn w:val="DefaultParagraphFont"/>
    <w:link w:val="BodyTextIndent2"/>
    <w:rsid w:val="00F337DE"/>
    <w:rPr>
      <w:rFonts w:ascii="Garamond" w:eastAsia="Times New Roman" w:hAnsi="Garamond" w:cs="Times New Roman"/>
      <w:sz w:val="24"/>
      <w:szCs w:val="20"/>
      <w:lang w:val="en-AU"/>
    </w:rPr>
  </w:style>
  <w:style w:type="character" w:customStyle="1" w:styleId="rvts7">
    <w:name w:val="rvts7"/>
    <w:rsid w:val="00F337DE"/>
    <w:rPr>
      <w:rFonts w:ascii="Times New Roman" w:hAnsi="Times New Roman" w:cs="Times New Roman" w:hint="default"/>
      <w:b/>
      <w:bCs/>
      <w:sz w:val="24"/>
      <w:szCs w:val="24"/>
    </w:rPr>
  </w:style>
  <w:style w:type="character" w:customStyle="1" w:styleId="apple-converted-space">
    <w:name w:val="apple-converted-space"/>
    <w:rsid w:val="00F337DE"/>
  </w:style>
  <w:style w:type="character" w:customStyle="1" w:styleId="l5def3">
    <w:name w:val="l5def3"/>
    <w:rsid w:val="00F337DE"/>
    <w:rPr>
      <w:rFonts w:ascii="Arial" w:hAnsi="Arial" w:cs="Arial" w:hint="default"/>
      <w:color w:val="000000"/>
      <w:sz w:val="26"/>
      <w:szCs w:val="26"/>
    </w:rPr>
  </w:style>
  <w:style w:type="character" w:customStyle="1" w:styleId="l5def4">
    <w:name w:val="l5def4"/>
    <w:rsid w:val="00F337DE"/>
    <w:rPr>
      <w:rFonts w:ascii="Arial" w:hAnsi="Arial" w:cs="Arial" w:hint="default"/>
      <w:color w:val="000000"/>
      <w:sz w:val="26"/>
      <w:szCs w:val="26"/>
    </w:rPr>
  </w:style>
  <w:style w:type="character" w:customStyle="1" w:styleId="l5def5">
    <w:name w:val="l5def5"/>
    <w:rsid w:val="00F337DE"/>
    <w:rPr>
      <w:rFonts w:ascii="Arial" w:hAnsi="Arial" w:cs="Arial" w:hint="default"/>
      <w:color w:val="000000"/>
      <w:sz w:val="26"/>
      <w:szCs w:val="26"/>
    </w:rPr>
  </w:style>
  <w:style w:type="character" w:customStyle="1" w:styleId="l5def6">
    <w:name w:val="l5def6"/>
    <w:rsid w:val="00F337DE"/>
    <w:rPr>
      <w:rFonts w:ascii="Arial" w:hAnsi="Arial" w:cs="Arial" w:hint="default"/>
      <w:color w:val="000000"/>
      <w:sz w:val="26"/>
      <w:szCs w:val="26"/>
    </w:rPr>
  </w:style>
  <w:style w:type="character" w:customStyle="1" w:styleId="l5def7">
    <w:name w:val="l5def7"/>
    <w:rsid w:val="00F337DE"/>
    <w:rPr>
      <w:rFonts w:ascii="Arial" w:hAnsi="Arial" w:cs="Arial" w:hint="default"/>
      <w:color w:val="000000"/>
      <w:sz w:val="26"/>
      <w:szCs w:val="26"/>
    </w:rPr>
  </w:style>
  <w:style w:type="character" w:customStyle="1" w:styleId="l5def8">
    <w:name w:val="l5def8"/>
    <w:rsid w:val="00F337DE"/>
    <w:rPr>
      <w:rFonts w:ascii="Arial" w:hAnsi="Arial" w:cs="Arial" w:hint="default"/>
      <w:color w:val="000000"/>
      <w:sz w:val="26"/>
      <w:szCs w:val="26"/>
    </w:rPr>
  </w:style>
  <w:style w:type="character" w:customStyle="1" w:styleId="l5def9">
    <w:name w:val="l5def9"/>
    <w:rsid w:val="00F337DE"/>
    <w:rPr>
      <w:rFonts w:ascii="Arial" w:hAnsi="Arial" w:cs="Arial" w:hint="default"/>
      <w:color w:val="000000"/>
      <w:sz w:val="26"/>
      <w:szCs w:val="26"/>
    </w:rPr>
  </w:style>
  <w:style w:type="character" w:customStyle="1" w:styleId="l5def10">
    <w:name w:val="l5def10"/>
    <w:rsid w:val="00F337DE"/>
    <w:rPr>
      <w:rFonts w:ascii="Arial" w:hAnsi="Arial" w:cs="Arial" w:hint="default"/>
      <w:color w:val="000000"/>
      <w:sz w:val="26"/>
      <w:szCs w:val="26"/>
    </w:rPr>
  </w:style>
  <w:style w:type="paragraph" w:styleId="Caption">
    <w:name w:val="caption"/>
    <w:basedOn w:val="Normal"/>
    <w:next w:val="Normal"/>
    <w:qFormat/>
    <w:rsid w:val="00F337DE"/>
    <w:pPr>
      <w:spacing w:after="0" w:line="240" w:lineRule="auto"/>
      <w:jc w:val="center"/>
    </w:pPr>
    <w:rPr>
      <w:rFonts w:ascii="Garamond" w:eastAsia="Times New Roman" w:hAnsi="Garamond" w:cs="Times New Roman"/>
      <w:b/>
      <w:sz w:val="32"/>
      <w:szCs w:val="28"/>
    </w:rPr>
  </w:style>
  <w:style w:type="paragraph" w:styleId="Subtitle">
    <w:name w:val="Subtitle"/>
    <w:basedOn w:val="Normal"/>
    <w:link w:val="SubtitleChar"/>
    <w:qFormat/>
    <w:rsid w:val="00F337DE"/>
    <w:pPr>
      <w:spacing w:after="0" w:line="24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F337DE"/>
    <w:rPr>
      <w:rFonts w:ascii="Times New Roman" w:eastAsia="Times New Roman" w:hAnsi="Times New Roman" w:cs="Times New Roman"/>
      <w:b/>
      <w:bCs/>
      <w:sz w:val="24"/>
      <w:szCs w:val="24"/>
    </w:rPr>
  </w:style>
  <w:style w:type="character" w:customStyle="1" w:styleId="rvts6">
    <w:name w:val="rvts6"/>
    <w:rsid w:val="00F337DE"/>
  </w:style>
  <w:style w:type="character" w:customStyle="1" w:styleId="rvts15">
    <w:name w:val="rvts15"/>
    <w:rsid w:val="00F337DE"/>
  </w:style>
  <w:style w:type="character" w:customStyle="1" w:styleId="rvts13">
    <w:name w:val="rvts13"/>
    <w:rsid w:val="00F337DE"/>
  </w:style>
  <w:style w:type="numbering" w:customStyle="1" w:styleId="NoList1">
    <w:name w:val="No List1"/>
    <w:next w:val="NoList"/>
    <w:uiPriority w:val="99"/>
    <w:semiHidden/>
    <w:unhideWhenUsed/>
    <w:rsid w:val="00F337DE"/>
  </w:style>
  <w:style w:type="paragraph" w:customStyle="1" w:styleId="CharCharCaracterCaracterCharCharCaracterCaracterCharChar">
    <w:name w:val="Char Char Caracter Caracter Char Char Caracter Caracter Char Char"/>
    <w:basedOn w:val="Normal"/>
    <w:rsid w:val="00F337DE"/>
    <w:pPr>
      <w:spacing w:after="0" w:line="240" w:lineRule="auto"/>
    </w:pPr>
    <w:rPr>
      <w:rFonts w:ascii="Arial" w:eastAsia="Times New Roman" w:hAnsi="Arial" w:cs="Times New Roman"/>
      <w:sz w:val="28"/>
      <w:szCs w:val="20"/>
      <w:lang w:val="pl-PL" w:eastAsia="pl-PL"/>
    </w:rPr>
  </w:style>
  <w:style w:type="paragraph" w:customStyle="1" w:styleId="CaracterCaracter">
    <w:name w:val="Caracter Caracter"/>
    <w:basedOn w:val="Normal"/>
    <w:rsid w:val="00F337DE"/>
    <w:pPr>
      <w:spacing w:after="0" w:line="240" w:lineRule="auto"/>
    </w:pPr>
    <w:rPr>
      <w:rFonts w:ascii="Arial" w:eastAsia="Times New Roman" w:hAnsi="Arial" w:cs="Times New Roman"/>
      <w:sz w:val="28"/>
      <w:szCs w:val="20"/>
      <w:lang w:val="pl-PL" w:eastAsia="pl-PL"/>
    </w:rPr>
  </w:style>
  <w:style w:type="character" w:customStyle="1" w:styleId="rvts8">
    <w:name w:val="rvts8"/>
    <w:rsid w:val="00F337DE"/>
  </w:style>
  <w:style w:type="character" w:customStyle="1" w:styleId="rvts17">
    <w:name w:val="rvts17"/>
    <w:rsid w:val="00F337DE"/>
  </w:style>
  <w:style w:type="character" w:customStyle="1" w:styleId="FontStyle35">
    <w:name w:val="Font Style35"/>
    <w:rsid w:val="00F337DE"/>
    <w:rPr>
      <w:rFonts w:ascii="Georgia" w:hAnsi="Georgia" w:cs="Georgia"/>
      <w:b/>
      <w:bCs/>
      <w:sz w:val="24"/>
      <w:szCs w:val="24"/>
    </w:rPr>
  </w:style>
  <w:style w:type="paragraph" w:customStyle="1" w:styleId="Style14">
    <w:name w:val="Style14"/>
    <w:basedOn w:val="Normal"/>
    <w:rsid w:val="00F337DE"/>
    <w:pPr>
      <w:widowControl w:val="0"/>
      <w:suppressAutoHyphens/>
      <w:autoSpaceDE w:val="0"/>
      <w:spacing w:after="0" w:line="300" w:lineRule="exact"/>
      <w:ind w:firstLine="682"/>
      <w:jc w:val="both"/>
    </w:pPr>
    <w:rPr>
      <w:rFonts w:ascii="Georgia" w:eastAsia="Times New Roman" w:hAnsi="Georgia" w:cs="Georgia"/>
      <w:sz w:val="24"/>
      <w:szCs w:val="24"/>
      <w:lang w:eastAsia="zh-CN"/>
    </w:rPr>
  </w:style>
  <w:style w:type="character" w:customStyle="1" w:styleId="salnbdy">
    <w:name w:val="s_aln_bdy"/>
    <w:rsid w:val="00F337DE"/>
  </w:style>
  <w:style w:type="character" w:customStyle="1" w:styleId="slitbdy">
    <w:name w:val="s_lit_bdy"/>
    <w:rsid w:val="00F337DE"/>
  </w:style>
  <w:style w:type="character" w:customStyle="1" w:styleId="spar">
    <w:name w:val="s_par"/>
    <w:rsid w:val="00F337DE"/>
  </w:style>
  <w:style w:type="character" w:customStyle="1" w:styleId="slit">
    <w:name w:val="s_lit"/>
    <w:rsid w:val="00F337DE"/>
  </w:style>
  <w:style w:type="paragraph" w:customStyle="1" w:styleId="pj">
    <w:name w:val="pj"/>
    <w:basedOn w:val="Normal"/>
    <w:rsid w:val="00F337DE"/>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aln">
    <w:name w:val="s_aln"/>
    <w:basedOn w:val="DefaultParagraphFont"/>
    <w:rsid w:val="00F337DE"/>
  </w:style>
  <w:style w:type="character" w:customStyle="1" w:styleId="slgi">
    <w:name w:val="s_lgi"/>
    <w:basedOn w:val="DefaultParagraphFont"/>
    <w:rsid w:val="00F337DE"/>
  </w:style>
  <w:style w:type="character" w:customStyle="1" w:styleId="salnttl">
    <w:name w:val="s_aln_ttl"/>
    <w:basedOn w:val="DefaultParagraphFont"/>
    <w:rsid w:val="00F337DE"/>
  </w:style>
  <w:style w:type="character" w:customStyle="1" w:styleId="alineat1">
    <w:name w:val="alineat1"/>
    <w:rsid w:val="00F337DE"/>
    <w:rPr>
      <w:b/>
      <w:bCs/>
      <w:color w:val="000000"/>
    </w:rPr>
  </w:style>
  <w:style w:type="character" w:customStyle="1" w:styleId="rvts9">
    <w:name w:val="rvts9"/>
    <w:rsid w:val="00F337DE"/>
  </w:style>
  <w:style w:type="character" w:customStyle="1" w:styleId="l5def">
    <w:name w:val="l5def"/>
    <w:rsid w:val="00F337DE"/>
  </w:style>
  <w:style w:type="character" w:customStyle="1" w:styleId="FontStyle47">
    <w:name w:val="Font Style47"/>
    <w:rsid w:val="00F337DE"/>
    <w:rPr>
      <w:rFonts w:ascii="Times New Roman" w:hAnsi="Times New Roman" w:cs="Times New Roman" w:hint="default"/>
      <w:sz w:val="24"/>
      <w:szCs w:val="24"/>
    </w:rPr>
  </w:style>
  <w:style w:type="character" w:customStyle="1" w:styleId="FontStyle14">
    <w:name w:val="Font Style14"/>
    <w:rsid w:val="00F337DE"/>
    <w:rPr>
      <w:rFonts w:ascii="Arial Unicode MS" w:eastAsia="Arial Unicode MS" w:cs="Arial Unicode MS"/>
      <w:sz w:val="26"/>
      <w:szCs w:val="26"/>
    </w:rPr>
  </w:style>
  <w:style w:type="character" w:customStyle="1" w:styleId="hvsubpunctcontent">
    <w:name w:val="hvsubpunctcontent"/>
    <w:rsid w:val="00F337DE"/>
  </w:style>
  <w:style w:type="character" w:customStyle="1" w:styleId="rvts11">
    <w:name w:val="rvts11"/>
    <w:rsid w:val="00F337DE"/>
  </w:style>
  <w:style w:type="character" w:customStyle="1" w:styleId="rvts1">
    <w:name w:val="rvts1"/>
    <w:rsid w:val="00F337DE"/>
  </w:style>
  <w:style w:type="character" w:customStyle="1" w:styleId="NormalWebChar">
    <w:name w:val="Normal (Web) Char"/>
    <w:link w:val="NormalWeb"/>
    <w:uiPriority w:val="99"/>
    <w:locked/>
    <w:rsid w:val="00F337DE"/>
    <w:rPr>
      <w:rFonts w:ascii="Times New Roman" w:eastAsia="Calibri" w:hAnsi="Times New Roman" w:cs="Times New Roman"/>
      <w:sz w:val="24"/>
      <w:szCs w:val="24"/>
      <w:lang w:val="en-US"/>
    </w:rPr>
  </w:style>
  <w:style w:type="character" w:customStyle="1" w:styleId="litera1">
    <w:name w:val="litera1"/>
    <w:rsid w:val="00F337DE"/>
    <w:rPr>
      <w:b/>
      <w:bCs/>
      <w:color w:val="000000"/>
    </w:rPr>
  </w:style>
  <w:style w:type="paragraph" w:customStyle="1" w:styleId="StilTitlu1Calibri10ptnainte0pct">
    <w:name w:val="Stil Titlu 1 + Calibri 10 pt Înainte:  0 pct."/>
    <w:basedOn w:val="Heading1"/>
    <w:rsid w:val="00F337DE"/>
    <w:pPr>
      <w:spacing w:after="60"/>
      <w:jc w:val="left"/>
    </w:pPr>
    <w:rPr>
      <w:rFonts w:ascii="Calibri" w:hAnsi="Calibri"/>
      <w:kern w:val="32"/>
      <w:sz w:val="20"/>
      <w:szCs w:val="20"/>
      <w:lang w:val="ro-RO" w:eastAsia="en-US"/>
    </w:rPr>
  </w:style>
  <w:style w:type="paragraph" w:customStyle="1" w:styleId="Stil1">
    <w:name w:val="Stil1"/>
    <w:basedOn w:val="StilTitlu1Calibri10ptnainte0pct"/>
    <w:autoRedefine/>
    <w:rsid w:val="00F337DE"/>
  </w:style>
  <w:style w:type="table" w:styleId="TableGrid">
    <w:name w:val="Table Grid"/>
    <w:basedOn w:val="TableNormal"/>
    <w:rsid w:val="00F337DE"/>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F337D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semiHidden/>
    <w:rsid w:val="00F337DE"/>
    <w:rPr>
      <w:rFonts w:ascii="Arial" w:eastAsia="Times New Roman" w:hAnsi="Arial" w:cs="Arial"/>
      <w:sz w:val="20"/>
      <w:szCs w:val="20"/>
    </w:rPr>
  </w:style>
  <w:style w:type="character" w:styleId="FootnoteReference">
    <w:name w:val="footnote reference"/>
    <w:semiHidden/>
    <w:rsid w:val="00F337DE"/>
    <w:rPr>
      <w:rFonts w:cs="Times New Roman"/>
      <w:vertAlign w:val="superscript"/>
    </w:rPr>
  </w:style>
  <w:style w:type="character" w:customStyle="1" w:styleId="articol">
    <w:name w:val="articol"/>
    <w:rsid w:val="00F337DE"/>
  </w:style>
  <w:style w:type="character" w:customStyle="1" w:styleId="punct">
    <w:name w:val="punct"/>
    <w:rsid w:val="00F337DE"/>
  </w:style>
  <w:style w:type="character" w:customStyle="1" w:styleId="paragraf1">
    <w:name w:val="paragraf1"/>
    <w:rsid w:val="00F337DE"/>
    <w:rPr>
      <w:shd w:val="clear" w:color="auto" w:fill="auto"/>
    </w:rPr>
  </w:style>
  <w:style w:type="paragraph" w:customStyle="1" w:styleId="ECHRPara">
    <w:name w:val="ECHR_Para"/>
    <w:aliases w:val="Ju_Para"/>
    <w:basedOn w:val="Normal"/>
    <w:link w:val="ECHRParaChar"/>
    <w:uiPriority w:val="12"/>
    <w:qFormat/>
    <w:rsid w:val="00F337DE"/>
    <w:pPr>
      <w:spacing w:after="0" w:line="240" w:lineRule="auto"/>
      <w:ind w:firstLine="284"/>
      <w:jc w:val="both"/>
    </w:pPr>
    <w:rPr>
      <w:rFonts w:ascii="Times New Roman" w:eastAsia="MS Mincho" w:hAnsi="Times New Roman" w:cs="Times New Roman"/>
      <w:sz w:val="24"/>
      <w:szCs w:val="20"/>
    </w:rPr>
  </w:style>
  <w:style w:type="character" w:customStyle="1" w:styleId="ECHRParaChar">
    <w:name w:val="ECHR_Para Char"/>
    <w:aliases w:val="Ju_Para Char"/>
    <w:link w:val="ECHRPara"/>
    <w:uiPriority w:val="12"/>
    <w:locked/>
    <w:rsid w:val="00F337DE"/>
    <w:rPr>
      <w:rFonts w:ascii="Times New Roman" w:eastAsia="MS Mincho" w:hAnsi="Times New Roman" w:cs="Times New Roman"/>
      <w:sz w:val="24"/>
      <w:szCs w:val="20"/>
    </w:rPr>
  </w:style>
  <w:style w:type="paragraph" w:styleId="TOCHeading">
    <w:name w:val="TOC Heading"/>
    <w:basedOn w:val="Heading1"/>
    <w:next w:val="Normal"/>
    <w:uiPriority w:val="39"/>
    <w:unhideWhenUsed/>
    <w:qFormat/>
    <w:rsid w:val="00F337DE"/>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n-US"/>
    </w:rPr>
  </w:style>
  <w:style w:type="paragraph" w:styleId="TOC1">
    <w:name w:val="toc 1"/>
    <w:basedOn w:val="Normal"/>
    <w:next w:val="Normal"/>
    <w:autoRedefine/>
    <w:uiPriority w:val="39"/>
    <w:unhideWhenUsed/>
    <w:rsid w:val="00906E15"/>
    <w:pPr>
      <w:widowControl w:val="0"/>
      <w:tabs>
        <w:tab w:val="right" w:leader="dot" w:pos="9638"/>
      </w:tabs>
      <w:autoSpaceDE w:val="0"/>
      <w:autoSpaceDN w:val="0"/>
      <w:adjustRightInd w:val="0"/>
      <w:spacing w:after="0" w:line="240" w:lineRule="auto"/>
    </w:pPr>
    <w:rPr>
      <w:rFonts w:ascii="Times New Roman" w:eastAsia="Calibri" w:hAnsi="Times New Roman" w:cs="Times New Roman"/>
      <w:b/>
      <w:caps/>
      <w:noProof/>
      <w:sz w:val="20"/>
      <w:szCs w:val="20"/>
    </w:rPr>
  </w:style>
  <w:style w:type="paragraph" w:styleId="TOC2">
    <w:name w:val="toc 2"/>
    <w:basedOn w:val="Normal"/>
    <w:next w:val="Normal"/>
    <w:autoRedefine/>
    <w:uiPriority w:val="39"/>
    <w:unhideWhenUsed/>
    <w:rsid w:val="00F337DE"/>
    <w:pPr>
      <w:widowControl w:val="0"/>
      <w:tabs>
        <w:tab w:val="right" w:leader="dot" w:pos="9638"/>
      </w:tabs>
      <w:autoSpaceDE w:val="0"/>
      <w:autoSpaceDN w:val="0"/>
      <w:adjustRightInd w:val="0"/>
      <w:spacing w:after="0" w:line="240" w:lineRule="auto"/>
      <w:ind w:left="200"/>
    </w:pPr>
    <w:rPr>
      <w:rFonts w:ascii="Times New Roman" w:eastAsia="Calibri" w:hAnsi="Times New Roman" w:cs="Times New Roman"/>
      <w:i/>
      <w:noProof/>
      <w:spacing w:val="-4"/>
      <w:sz w:val="20"/>
      <w:szCs w:val="20"/>
    </w:rPr>
  </w:style>
  <w:style w:type="paragraph" w:styleId="TOC3">
    <w:name w:val="toc 3"/>
    <w:basedOn w:val="Normal"/>
    <w:next w:val="Normal"/>
    <w:autoRedefine/>
    <w:uiPriority w:val="39"/>
    <w:unhideWhenUsed/>
    <w:rsid w:val="000866C9"/>
    <w:pPr>
      <w:widowControl w:val="0"/>
      <w:tabs>
        <w:tab w:val="left" w:pos="720"/>
        <w:tab w:val="left" w:pos="993"/>
        <w:tab w:val="right" w:leader="dot" w:pos="9638"/>
      </w:tabs>
      <w:autoSpaceDE w:val="0"/>
      <w:autoSpaceDN w:val="0"/>
      <w:adjustRightInd w:val="0"/>
      <w:spacing w:after="100" w:line="240" w:lineRule="auto"/>
      <w:ind w:left="720"/>
      <w:jc w:val="both"/>
    </w:pPr>
    <w:rPr>
      <w:rFonts w:ascii="Times New Roman" w:eastAsia="Calibri" w:hAnsi="Times New Roman" w:cs="Times New Roman"/>
      <w:b/>
      <w:noProof/>
      <w:sz w:val="20"/>
      <w:szCs w:val="20"/>
    </w:rPr>
  </w:style>
  <w:style w:type="paragraph" w:styleId="TOC4">
    <w:name w:val="toc 4"/>
    <w:basedOn w:val="Normal"/>
    <w:next w:val="Normal"/>
    <w:autoRedefine/>
    <w:uiPriority w:val="39"/>
    <w:unhideWhenUsed/>
    <w:rsid w:val="00F337DE"/>
    <w:pPr>
      <w:spacing w:after="100"/>
      <w:ind w:left="660"/>
    </w:pPr>
    <w:rPr>
      <w:rFonts w:eastAsiaTheme="minorEastAsia"/>
      <w:lang w:val="en-US"/>
    </w:rPr>
  </w:style>
  <w:style w:type="paragraph" w:styleId="TOC5">
    <w:name w:val="toc 5"/>
    <w:basedOn w:val="Normal"/>
    <w:next w:val="Normal"/>
    <w:autoRedefine/>
    <w:uiPriority w:val="39"/>
    <w:unhideWhenUsed/>
    <w:rsid w:val="00F337DE"/>
    <w:pPr>
      <w:spacing w:after="100"/>
      <w:ind w:left="880"/>
    </w:pPr>
    <w:rPr>
      <w:rFonts w:eastAsiaTheme="minorEastAsia"/>
      <w:lang w:val="en-US"/>
    </w:rPr>
  </w:style>
  <w:style w:type="paragraph" w:styleId="TOC6">
    <w:name w:val="toc 6"/>
    <w:basedOn w:val="Normal"/>
    <w:next w:val="Normal"/>
    <w:autoRedefine/>
    <w:uiPriority w:val="39"/>
    <w:unhideWhenUsed/>
    <w:rsid w:val="00F337DE"/>
    <w:pPr>
      <w:spacing w:after="100"/>
      <w:ind w:left="1100"/>
    </w:pPr>
    <w:rPr>
      <w:rFonts w:eastAsiaTheme="minorEastAsia"/>
      <w:lang w:val="en-US"/>
    </w:rPr>
  </w:style>
  <w:style w:type="paragraph" w:styleId="TOC7">
    <w:name w:val="toc 7"/>
    <w:basedOn w:val="Normal"/>
    <w:next w:val="Normal"/>
    <w:autoRedefine/>
    <w:uiPriority w:val="39"/>
    <w:unhideWhenUsed/>
    <w:rsid w:val="00F337DE"/>
    <w:pPr>
      <w:spacing w:after="100"/>
      <w:ind w:left="1320"/>
    </w:pPr>
    <w:rPr>
      <w:rFonts w:eastAsiaTheme="minorEastAsia"/>
      <w:lang w:val="en-US"/>
    </w:rPr>
  </w:style>
  <w:style w:type="paragraph" w:styleId="TOC8">
    <w:name w:val="toc 8"/>
    <w:basedOn w:val="Normal"/>
    <w:next w:val="Normal"/>
    <w:autoRedefine/>
    <w:uiPriority w:val="39"/>
    <w:unhideWhenUsed/>
    <w:rsid w:val="00F337DE"/>
    <w:pPr>
      <w:spacing w:after="100"/>
      <w:ind w:left="1540"/>
    </w:pPr>
    <w:rPr>
      <w:rFonts w:eastAsiaTheme="minorEastAsia"/>
      <w:lang w:val="en-US"/>
    </w:rPr>
  </w:style>
  <w:style w:type="paragraph" w:styleId="TOC9">
    <w:name w:val="toc 9"/>
    <w:basedOn w:val="Normal"/>
    <w:next w:val="Normal"/>
    <w:autoRedefine/>
    <w:uiPriority w:val="39"/>
    <w:unhideWhenUsed/>
    <w:rsid w:val="00F337DE"/>
    <w:pPr>
      <w:spacing w:after="100"/>
      <w:ind w:left="1760"/>
    </w:pPr>
    <w:rPr>
      <w:rFonts w:eastAsiaTheme="minorEastAsia"/>
      <w:lang w:val="en-US"/>
    </w:rPr>
  </w:style>
  <w:style w:type="numbering" w:customStyle="1" w:styleId="NoList2">
    <w:name w:val="No List2"/>
    <w:next w:val="NoList"/>
    <w:uiPriority w:val="99"/>
    <w:semiHidden/>
    <w:unhideWhenUsed/>
    <w:rsid w:val="00453BEF"/>
  </w:style>
  <w:style w:type="character" w:customStyle="1" w:styleId="Fontdeparagrafimplicit1">
    <w:name w:val="Font de paragraf implicit1"/>
    <w:rsid w:val="00453BEF"/>
  </w:style>
  <w:style w:type="character" w:customStyle="1" w:styleId="l5ghi1">
    <w:name w:val="l5_ghi1"/>
    <w:basedOn w:val="DefaultParagraphFont"/>
    <w:rsid w:val="00453BEF"/>
    <w:rPr>
      <w:sz w:val="26"/>
      <w:szCs w:val="26"/>
      <w:shd w:val="clear" w:color="auto" w:fill="E0E0F0"/>
    </w:rPr>
  </w:style>
  <w:style w:type="character" w:customStyle="1" w:styleId="l5com1">
    <w:name w:val="l5com1"/>
    <w:basedOn w:val="DefaultParagraphFont"/>
    <w:rsid w:val="00453BEF"/>
    <w:rPr>
      <w:rFonts w:ascii="Tahoma" w:hAnsi="Tahoma" w:cs="Tahoma" w:hint="default"/>
      <w:b w:val="0"/>
      <w:bCs w:val="0"/>
      <w:i w:val="0"/>
      <w:iCs w:val="0"/>
      <w:color w:val="FF6600"/>
      <w:sz w:val="20"/>
      <w:szCs w:val="20"/>
    </w:rPr>
  </w:style>
  <w:style w:type="character" w:customStyle="1" w:styleId="l5com2">
    <w:name w:val="l5com2"/>
    <w:basedOn w:val="DefaultParagraphFont"/>
    <w:rsid w:val="00453BEF"/>
    <w:rPr>
      <w:rFonts w:ascii="Tahoma" w:hAnsi="Tahoma" w:cs="Tahoma" w:hint="default"/>
      <w:b w:val="0"/>
      <w:bCs w:val="0"/>
      <w:i w:val="0"/>
      <w:iCs w:val="0"/>
      <w:color w:val="FF6600"/>
      <w:sz w:val="20"/>
      <w:szCs w:val="20"/>
    </w:rPr>
  </w:style>
  <w:style w:type="numbering" w:customStyle="1" w:styleId="NoList3">
    <w:name w:val="No List3"/>
    <w:next w:val="NoList"/>
    <w:uiPriority w:val="99"/>
    <w:semiHidden/>
    <w:unhideWhenUsed/>
    <w:rsid w:val="0016020A"/>
  </w:style>
  <w:style w:type="character" w:customStyle="1" w:styleId="system-pagebreak">
    <w:name w:val="system-pagebreak"/>
    <w:rsid w:val="0016020A"/>
  </w:style>
  <w:style w:type="paragraph" w:styleId="PlainText">
    <w:name w:val="Plain Text"/>
    <w:basedOn w:val="Normal"/>
    <w:link w:val="PlainTextChar"/>
    <w:semiHidden/>
    <w:unhideWhenUsed/>
    <w:rsid w:val="0016020A"/>
    <w:pPr>
      <w:spacing w:after="0" w:line="240" w:lineRule="auto"/>
    </w:pPr>
    <w:rPr>
      <w:rFonts w:ascii="Courier New" w:eastAsia="Times New Roman" w:hAnsi="Courier New" w:cs="Courier New"/>
      <w:sz w:val="20"/>
      <w:szCs w:val="20"/>
      <w:lang w:eastAsia="ro-RO"/>
    </w:rPr>
  </w:style>
  <w:style w:type="character" w:customStyle="1" w:styleId="PlainTextChar">
    <w:name w:val="Plain Text Char"/>
    <w:basedOn w:val="DefaultParagraphFont"/>
    <w:link w:val="PlainText"/>
    <w:semiHidden/>
    <w:rsid w:val="0016020A"/>
    <w:rPr>
      <w:rFonts w:ascii="Courier New" w:eastAsia="Times New Roman" w:hAnsi="Courier New" w:cs="Courier New"/>
      <w:sz w:val="20"/>
      <w:szCs w:val="20"/>
      <w:lang w:eastAsia="ro-RO"/>
    </w:rPr>
  </w:style>
  <w:style w:type="paragraph" w:customStyle="1" w:styleId="Default">
    <w:name w:val="Default"/>
    <w:rsid w:val="0016020A"/>
    <w:pPr>
      <w:autoSpaceDE w:val="0"/>
      <w:autoSpaceDN w:val="0"/>
      <w:adjustRightInd w:val="0"/>
      <w:spacing w:after="0" w:line="240" w:lineRule="auto"/>
    </w:pPr>
    <w:rPr>
      <w:rFonts w:ascii="Constantia" w:eastAsia="Times New Roman" w:hAnsi="Constantia" w:cs="Constantia"/>
      <w:color w:val="000000"/>
      <w:sz w:val="24"/>
      <w:szCs w:val="24"/>
      <w:lang w:eastAsia="ro-RO"/>
    </w:rPr>
  </w:style>
  <w:style w:type="character" w:customStyle="1" w:styleId="CommentTextChar">
    <w:name w:val="Comment Text Char"/>
    <w:basedOn w:val="DefaultParagraphFont"/>
    <w:link w:val="CommentText"/>
    <w:uiPriority w:val="99"/>
    <w:semiHidden/>
    <w:rsid w:val="0016020A"/>
    <w:rPr>
      <w:rFonts w:ascii="Calibri" w:eastAsia="Times New Roman" w:hAnsi="Calibri" w:cs="Times New Roman"/>
      <w:sz w:val="20"/>
      <w:szCs w:val="20"/>
      <w:lang w:eastAsia="ro-RO"/>
    </w:rPr>
  </w:style>
  <w:style w:type="paragraph" w:styleId="CommentText">
    <w:name w:val="annotation text"/>
    <w:basedOn w:val="Normal"/>
    <w:link w:val="CommentTextChar"/>
    <w:uiPriority w:val="99"/>
    <w:semiHidden/>
    <w:unhideWhenUsed/>
    <w:rsid w:val="0016020A"/>
    <w:rPr>
      <w:rFonts w:ascii="Calibri" w:eastAsia="Times New Roman" w:hAnsi="Calibri" w:cs="Times New Roman"/>
      <w:sz w:val="20"/>
      <w:szCs w:val="20"/>
      <w:lang w:eastAsia="ro-RO"/>
    </w:rPr>
  </w:style>
  <w:style w:type="character" w:customStyle="1" w:styleId="CommentTextChar1">
    <w:name w:val="Comment Text Char1"/>
    <w:basedOn w:val="DefaultParagraphFont"/>
    <w:uiPriority w:val="99"/>
    <w:semiHidden/>
    <w:rsid w:val="0016020A"/>
    <w:rPr>
      <w:sz w:val="20"/>
      <w:szCs w:val="20"/>
    </w:rPr>
  </w:style>
  <w:style w:type="character" w:customStyle="1" w:styleId="CommentSubjectChar">
    <w:name w:val="Comment Subject Char"/>
    <w:basedOn w:val="CommentTextChar"/>
    <w:link w:val="CommentSubject"/>
    <w:uiPriority w:val="99"/>
    <w:semiHidden/>
    <w:rsid w:val="0016020A"/>
    <w:rPr>
      <w:rFonts w:ascii="Calibri" w:eastAsia="Times New Roman" w:hAnsi="Calibri" w:cs="Times New Roman"/>
      <w:b/>
      <w:bCs/>
      <w:sz w:val="20"/>
      <w:szCs w:val="20"/>
      <w:lang w:eastAsia="ro-RO"/>
    </w:rPr>
  </w:style>
  <w:style w:type="paragraph" w:styleId="CommentSubject">
    <w:name w:val="annotation subject"/>
    <w:basedOn w:val="CommentText"/>
    <w:next w:val="CommentText"/>
    <w:link w:val="CommentSubjectChar"/>
    <w:uiPriority w:val="99"/>
    <w:semiHidden/>
    <w:unhideWhenUsed/>
    <w:rsid w:val="0016020A"/>
    <w:rPr>
      <w:b/>
      <w:bCs/>
    </w:rPr>
  </w:style>
  <w:style w:type="character" w:customStyle="1" w:styleId="CommentSubjectChar1">
    <w:name w:val="Comment Subject Char1"/>
    <w:basedOn w:val="CommentTextChar1"/>
    <w:uiPriority w:val="99"/>
    <w:semiHidden/>
    <w:rsid w:val="0016020A"/>
    <w:rPr>
      <w:b/>
      <w:bCs/>
      <w:sz w:val="20"/>
      <w:szCs w:val="20"/>
    </w:rPr>
  </w:style>
  <w:style w:type="paragraph" w:styleId="EndnoteText">
    <w:name w:val="endnote text"/>
    <w:basedOn w:val="Normal"/>
    <w:link w:val="EndnoteTextChar"/>
    <w:uiPriority w:val="99"/>
    <w:semiHidden/>
    <w:unhideWhenUsed/>
    <w:rsid w:val="001147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47B7"/>
    <w:rPr>
      <w:sz w:val="20"/>
      <w:szCs w:val="20"/>
    </w:rPr>
  </w:style>
  <w:style w:type="character" w:styleId="EndnoteReference">
    <w:name w:val="endnote reference"/>
    <w:basedOn w:val="DefaultParagraphFont"/>
    <w:uiPriority w:val="99"/>
    <w:semiHidden/>
    <w:unhideWhenUsed/>
    <w:rsid w:val="001147B7"/>
    <w:rPr>
      <w:vertAlign w:val="superscript"/>
    </w:rPr>
  </w:style>
  <w:style w:type="paragraph" w:customStyle="1" w:styleId="Style">
    <w:name w:val="Style"/>
    <w:rsid w:val="0045097A"/>
    <w:pPr>
      <w:widowControl w:val="0"/>
      <w:autoSpaceDE w:val="0"/>
      <w:autoSpaceDN w:val="0"/>
      <w:adjustRightInd w:val="0"/>
      <w:spacing w:after="0" w:line="240" w:lineRule="auto"/>
    </w:pPr>
    <w:rPr>
      <w:rFonts w:ascii="Times New Roman" w:eastAsia="Times New Roman" w:hAnsi="Times New Roman" w:cs="Times New Roman"/>
      <w:sz w:val="24"/>
      <w:szCs w:val="24"/>
      <w:lang w:eastAsia="ro-RO"/>
    </w:rPr>
  </w:style>
  <w:style w:type="paragraph" w:customStyle="1" w:styleId="Style13">
    <w:name w:val="Style13"/>
    <w:basedOn w:val="Normal"/>
    <w:uiPriority w:val="99"/>
    <w:rsid w:val="006622A7"/>
    <w:pPr>
      <w:widowControl w:val="0"/>
      <w:autoSpaceDE w:val="0"/>
      <w:autoSpaceDN w:val="0"/>
      <w:adjustRightInd w:val="0"/>
      <w:spacing w:after="0" w:line="298" w:lineRule="exact"/>
      <w:ind w:firstLine="720"/>
      <w:jc w:val="both"/>
    </w:pPr>
    <w:rPr>
      <w:rFonts w:ascii="Calibri" w:eastAsia="Times New Roman" w:hAnsi="Calibri" w:cs="Calibri"/>
      <w:sz w:val="24"/>
      <w:szCs w:val="24"/>
      <w:lang w:eastAsia="ro-RO"/>
    </w:rPr>
  </w:style>
  <w:style w:type="character" w:customStyle="1" w:styleId="FontStyle42">
    <w:name w:val="Font Style42"/>
    <w:uiPriority w:val="99"/>
    <w:rsid w:val="006622A7"/>
    <w:rPr>
      <w:rFonts w:ascii="Constantia" w:hAnsi="Constantia" w:cs="Constantia"/>
      <w:sz w:val="22"/>
      <w:szCs w:val="22"/>
    </w:rPr>
  </w:style>
  <w:style w:type="paragraph" w:customStyle="1" w:styleId="Style1">
    <w:name w:val="Style1"/>
    <w:basedOn w:val="Normal"/>
    <w:uiPriority w:val="99"/>
    <w:rsid w:val="006622A7"/>
    <w:pPr>
      <w:widowControl w:val="0"/>
      <w:autoSpaceDE w:val="0"/>
      <w:autoSpaceDN w:val="0"/>
      <w:adjustRightInd w:val="0"/>
      <w:spacing w:after="0" w:line="317" w:lineRule="exact"/>
      <w:jc w:val="both"/>
    </w:pPr>
    <w:rPr>
      <w:rFonts w:ascii="Microsoft Sans Serif" w:eastAsia="Times New Roman" w:hAnsi="Microsoft Sans Serif" w:cs="Microsoft Sans Serif"/>
      <w:sz w:val="24"/>
      <w:szCs w:val="24"/>
      <w:lang w:eastAsia="ro-RO"/>
    </w:rPr>
  </w:style>
  <w:style w:type="paragraph" w:customStyle="1" w:styleId="Style2">
    <w:name w:val="Style2"/>
    <w:basedOn w:val="Normal"/>
    <w:uiPriority w:val="99"/>
    <w:rsid w:val="006622A7"/>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o-RO"/>
    </w:rPr>
  </w:style>
  <w:style w:type="paragraph" w:customStyle="1" w:styleId="Style3">
    <w:name w:val="Style3"/>
    <w:basedOn w:val="Normal"/>
    <w:uiPriority w:val="99"/>
    <w:rsid w:val="006622A7"/>
    <w:pPr>
      <w:widowControl w:val="0"/>
      <w:autoSpaceDE w:val="0"/>
      <w:autoSpaceDN w:val="0"/>
      <w:adjustRightInd w:val="0"/>
      <w:spacing w:after="0" w:line="326" w:lineRule="exact"/>
      <w:ind w:firstLine="1440"/>
    </w:pPr>
    <w:rPr>
      <w:rFonts w:ascii="Microsoft Sans Serif" w:eastAsia="Times New Roman" w:hAnsi="Microsoft Sans Serif" w:cs="Microsoft Sans Serif"/>
      <w:sz w:val="24"/>
      <w:szCs w:val="24"/>
      <w:lang w:eastAsia="ro-RO"/>
    </w:rPr>
  </w:style>
  <w:style w:type="paragraph" w:customStyle="1" w:styleId="Style5">
    <w:name w:val="Style5"/>
    <w:basedOn w:val="Normal"/>
    <w:uiPriority w:val="99"/>
    <w:rsid w:val="006622A7"/>
    <w:pPr>
      <w:widowControl w:val="0"/>
      <w:autoSpaceDE w:val="0"/>
      <w:autoSpaceDN w:val="0"/>
      <w:adjustRightInd w:val="0"/>
      <w:spacing w:after="0" w:line="324" w:lineRule="exact"/>
      <w:ind w:firstLine="634"/>
    </w:pPr>
    <w:rPr>
      <w:rFonts w:ascii="Microsoft Sans Serif" w:eastAsia="Times New Roman" w:hAnsi="Microsoft Sans Serif" w:cs="Microsoft Sans Serif"/>
      <w:sz w:val="24"/>
      <w:szCs w:val="24"/>
      <w:lang w:eastAsia="ro-RO"/>
    </w:rPr>
  </w:style>
  <w:style w:type="paragraph" w:customStyle="1" w:styleId="Style6">
    <w:name w:val="Style6"/>
    <w:basedOn w:val="Normal"/>
    <w:uiPriority w:val="99"/>
    <w:rsid w:val="006622A7"/>
    <w:pPr>
      <w:widowControl w:val="0"/>
      <w:autoSpaceDE w:val="0"/>
      <w:autoSpaceDN w:val="0"/>
      <w:adjustRightInd w:val="0"/>
      <w:spacing w:after="0" w:line="325" w:lineRule="exact"/>
      <w:jc w:val="both"/>
    </w:pPr>
    <w:rPr>
      <w:rFonts w:ascii="Microsoft Sans Serif" w:eastAsia="Times New Roman" w:hAnsi="Microsoft Sans Serif" w:cs="Microsoft Sans Serif"/>
      <w:sz w:val="24"/>
      <w:szCs w:val="24"/>
      <w:lang w:eastAsia="ro-RO"/>
    </w:rPr>
  </w:style>
  <w:style w:type="paragraph" w:customStyle="1" w:styleId="Style7">
    <w:name w:val="Style7"/>
    <w:basedOn w:val="Normal"/>
    <w:uiPriority w:val="99"/>
    <w:rsid w:val="006622A7"/>
    <w:pPr>
      <w:widowControl w:val="0"/>
      <w:autoSpaceDE w:val="0"/>
      <w:autoSpaceDN w:val="0"/>
      <w:adjustRightInd w:val="0"/>
      <w:spacing w:after="0" w:line="326" w:lineRule="exact"/>
      <w:ind w:firstLine="677"/>
      <w:jc w:val="both"/>
    </w:pPr>
    <w:rPr>
      <w:rFonts w:ascii="Microsoft Sans Serif" w:eastAsia="Times New Roman" w:hAnsi="Microsoft Sans Serif" w:cs="Microsoft Sans Serif"/>
      <w:sz w:val="24"/>
      <w:szCs w:val="24"/>
      <w:lang w:eastAsia="ro-RO"/>
    </w:rPr>
  </w:style>
  <w:style w:type="paragraph" w:customStyle="1" w:styleId="Style15">
    <w:name w:val="Style15"/>
    <w:basedOn w:val="Normal"/>
    <w:uiPriority w:val="99"/>
    <w:rsid w:val="006622A7"/>
    <w:pPr>
      <w:widowControl w:val="0"/>
      <w:autoSpaceDE w:val="0"/>
      <w:autoSpaceDN w:val="0"/>
      <w:adjustRightInd w:val="0"/>
      <w:spacing w:after="0" w:line="326" w:lineRule="exact"/>
      <w:ind w:firstLine="715"/>
      <w:jc w:val="both"/>
    </w:pPr>
    <w:rPr>
      <w:rFonts w:ascii="Microsoft Sans Serif" w:eastAsia="Times New Roman" w:hAnsi="Microsoft Sans Serif" w:cs="Microsoft Sans Serif"/>
      <w:sz w:val="24"/>
      <w:szCs w:val="24"/>
      <w:lang w:eastAsia="ro-RO"/>
    </w:rPr>
  </w:style>
  <w:style w:type="paragraph" w:customStyle="1" w:styleId="Style16">
    <w:name w:val="Style16"/>
    <w:basedOn w:val="Normal"/>
    <w:uiPriority w:val="99"/>
    <w:rsid w:val="006622A7"/>
    <w:pPr>
      <w:widowControl w:val="0"/>
      <w:autoSpaceDE w:val="0"/>
      <w:autoSpaceDN w:val="0"/>
      <w:adjustRightInd w:val="0"/>
      <w:spacing w:after="0" w:line="326" w:lineRule="exact"/>
      <w:ind w:firstLine="730"/>
      <w:jc w:val="both"/>
    </w:pPr>
    <w:rPr>
      <w:rFonts w:ascii="Microsoft Sans Serif" w:eastAsia="Times New Roman" w:hAnsi="Microsoft Sans Serif" w:cs="Microsoft Sans Serif"/>
      <w:sz w:val="24"/>
      <w:szCs w:val="24"/>
      <w:lang w:eastAsia="ro-RO"/>
    </w:rPr>
  </w:style>
  <w:style w:type="paragraph" w:customStyle="1" w:styleId="Style17">
    <w:name w:val="Style17"/>
    <w:basedOn w:val="Normal"/>
    <w:uiPriority w:val="99"/>
    <w:rsid w:val="006622A7"/>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ro-RO"/>
    </w:rPr>
  </w:style>
  <w:style w:type="paragraph" w:customStyle="1" w:styleId="Style19">
    <w:name w:val="Style19"/>
    <w:basedOn w:val="Normal"/>
    <w:uiPriority w:val="99"/>
    <w:rsid w:val="006622A7"/>
    <w:pPr>
      <w:widowControl w:val="0"/>
      <w:autoSpaceDE w:val="0"/>
      <w:autoSpaceDN w:val="0"/>
      <w:adjustRightInd w:val="0"/>
      <w:spacing w:after="0" w:line="328" w:lineRule="exact"/>
      <w:ind w:firstLine="706"/>
      <w:jc w:val="both"/>
    </w:pPr>
    <w:rPr>
      <w:rFonts w:ascii="Microsoft Sans Serif" w:eastAsia="Times New Roman" w:hAnsi="Microsoft Sans Serif" w:cs="Microsoft Sans Serif"/>
      <w:sz w:val="24"/>
      <w:szCs w:val="24"/>
      <w:lang w:eastAsia="ro-RO"/>
    </w:rPr>
  </w:style>
  <w:style w:type="paragraph" w:customStyle="1" w:styleId="Style20">
    <w:name w:val="Style20"/>
    <w:basedOn w:val="Normal"/>
    <w:uiPriority w:val="99"/>
    <w:rsid w:val="006622A7"/>
    <w:pPr>
      <w:widowControl w:val="0"/>
      <w:autoSpaceDE w:val="0"/>
      <w:autoSpaceDN w:val="0"/>
      <w:adjustRightInd w:val="0"/>
      <w:spacing w:after="0" w:line="322" w:lineRule="exact"/>
      <w:ind w:firstLine="725"/>
    </w:pPr>
    <w:rPr>
      <w:rFonts w:ascii="Microsoft Sans Serif" w:eastAsia="Times New Roman" w:hAnsi="Microsoft Sans Serif" w:cs="Microsoft Sans Serif"/>
      <w:sz w:val="24"/>
      <w:szCs w:val="24"/>
      <w:lang w:eastAsia="ro-RO"/>
    </w:rPr>
  </w:style>
  <w:style w:type="paragraph" w:customStyle="1" w:styleId="Style21">
    <w:name w:val="Style21"/>
    <w:basedOn w:val="Normal"/>
    <w:uiPriority w:val="99"/>
    <w:rsid w:val="006622A7"/>
    <w:pPr>
      <w:widowControl w:val="0"/>
      <w:autoSpaceDE w:val="0"/>
      <w:autoSpaceDN w:val="0"/>
      <w:adjustRightInd w:val="0"/>
      <w:spacing w:after="0" w:line="326" w:lineRule="exact"/>
      <w:ind w:firstLine="720"/>
    </w:pPr>
    <w:rPr>
      <w:rFonts w:ascii="Microsoft Sans Serif" w:eastAsia="Times New Roman" w:hAnsi="Microsoft Sans Serif" w:cs="Microsoft Sans Serif"/>
      <w:sz w:val="24"/>
      <w:szCs w:val="24"/>
      <w:lang w:eastAsia="ro-RO"/>
    </w:rPr>
  </w:style>
  <w:style w:type="character" w:customStyle="1" w:styleId="FontStyle23">
    <w:name w:val="Font Style23"/>
    <w:uiPriority w:val="99"/>
    <w:rsid w:val="006622A7"/>
    <w:rPr>
      <w:rFonts w:ascii="Microsoft Sans Serif" w:hAnsi="Microsoft Sans Serif" w:cs="Microsoft Sans Serif"/>
      <w:sz w:val="28"/>
      <w:szCs w:val="28"/>
    </w:rPr>
  </w:style>
  <w:style w:type="character" w:customStyle="1" w:styleId="FontStyle27">
    <w:name w:val="Font Style27"/>
    <w:uiPriority w:val="99"/>
    <w:rsid w:val="006622A7"/>
    <w:rPr>
      <w:rFonts w:ascii="Times New Roman" w:hAnsi="Times New Roman" w:cs="Times New Roman"/>
      <w:sz w:val="26"/>
      <w:szCs w:val="26"/>
    </w:rPr>
  </w:style>
  <w:style w:type="character" w:customStyle="1" w:styleId="FontStyle28">
    <w:name w:val="Font Style28"/>
    <w:uiPriority w:val="99"/>
    <w:rsid w:val="006622A7"/>
    <w:rPr>
      <w:rFonts w:ascii="Times New Roman" w:hAnsi="Times New Roman" w:cs="Times New Roman"/>
      <w:i/>
      <w:iCs/>
      <w:sz w:val="26"/>
      <w:szCs w:val="26"/>
    </w:rPr>
  </w:style>
  <w:style w:type="character" w:customStyle="1" w:styleId="FontStyle33">
    <w:name w:val="Font Style33"/>
    <w:uiPriority w:val="99"/>
    <w:rsid w:val="006622A7"/>
    <w:rPr>
      <w:rFonts w:ascii="Microsoft Sans Serif" w:hAnsi="Microsoft Sans Serif" w:cs="Microsoft Sans Serif"/>
      <w:b/>
      <w:bCs/>
      <w:i/>
      <w:iCs/>
      <w:spacing w:val="10"/>
      <w:sz w:val="26"/>
      <w:szCs w:val="26"/>
    </w:rPr>
  </w:style>
  <w:style w:type="character" w:customStyle="1" w:styleId="FontStyle11">
    <w:name w:val="Font Style11"/>
    <w:uiPriority w:val="99"/>
    <w:rsid w:val="006622A7"/>
    <w:rPr>
      <w:rFonts w:ascii="Times New Roman" w:hAnsi="Times New Roman" w:cs="Times New Roman"/>
      <w:sz w:val="26"/>
      <w:szCs w:val="26"/>
    </w:rPr>
  </w:style>
  <w:style w:type="character" w:customStyle="1" w:styleId="FontStyle20">
    <w:name w:val="Font Style20"/>
    <w:uiPriority w:val="99"/>
    <w:rsid w:val="006622A7"/>
    <w:rPr>
      <w:rFonts w:ascii="Constantia" w:hAnsi="Constantia" w:cs="Constant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0049">
      <w:bodyDiv w:val="1"/>
      <w:marLeft w:val="0"/>
      <w:marRight w:val="0"/>
      <w:marTop w:val="0"/>
      <w:marBottom w:val="0"/>
      <w:divBdr>
        <w:top w:val="none" w:sz="0" w:space="0" w:color="auto"/>
        <w:left w:val="none" w:sz="0" w:space="0" w:color="auto"/>
        <w:bottom w:val="none" w:sz="0" w:space="0" w:color="auto"/>
        <w:right w:val="none" w:sz="0" w:space="0" w:color="auto"/>
      </w:divBdr>
    </w:div>
    <w:div w:id="901867204">
      <w:bodyDiv w:val="1"/>
      <w:marLeft w:val="0"/>
      <w:marRight w:val="0"/>
      <w:marTop w:val="0"/>
      <w:marBottom w:val="0"/>
      <w:divBdr>
        <w:top w:val="none" w:sz="0" w:space="0" w:color="auto"/>
        <w:left w:val="none" w:sz="0" w:space="0" w:color="auto"/>
        <w:bottom w:val="none" w:sz="0" w:space="0" w:color="auto"/>
        <w:right w:val="none" w:sz="0" w:space="0" w:color="auto"/>
      </w:divBdr>
    </w:div>
    <w:div w:id="1514566557">
      <w:bodyDiv w:val="1"/>
      <w:marLeft w:val="0"/>
      <w:marRight w:val="0"/>
      <w:marTop w:val="0"/>
      <w:marBottom w:val="0"/>
      <w:divBdr>
        <w:top w:val="none" w:sz="0" w:space="0" w:color="auto"/>
        <w:left w:val="none" w:sz="0" w:space="0" w:color="auto"/>
        <w:bottom w:val="none" w:sz="0" w:space="0" w:color="auto"/>
        <w:right w:val="none" w:sz="0" w:space="0" w:color="auto"/>
      </w:divBdr>
    </w:div>
    <w:div w:id="172027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dulcivil.ro/art-1669-promisiunea-de-vanzare-si-promisiunea-de-cumparare/" TargetMode="External"/><Relationship Id="rId18" Type="http://schemas.openxmlformats.org/officeDocument/2006/relationships/hyperlink" Target="https://lege5.ro/App/Document/gi3dknjxgy/privind-protectia-consumatorilor-in-cazul-contractelor-negociate-in-afara-spatiilor-comerciale?d=2021-06-10"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hudoc.echr.coe.int/eng?i=001-107589" TargetMode="External"/><Relationship Id="rId17" Type="http://schemas.openxmlformats.org/officeDocument/2006/relationships/hyperlink" Target="https://lege5.ro/App/Document/gi3tcmrqhe/directiva-nr-44-1999-privind-anumite-aspecte-ale-vanzarii-de-bunuri-de-consum-si-garantiile-conexe?d=2021-06-10" TargetMode="External"/><Relationship Id="rId2" Type="http://schemas.openxmlformats.org/officeDocument/2006/relationships/numbering" Target="numbering.xml"/><Relationship Id="rId16" Type="http://schemas.openxmlformats.org/officeDocument/2006/relationships/hyperlink" Target="https://lege5.ro/App/Document/gi3dmnbygq/directiva-nr-13-1993-privind-clauzele-abuzive-in-contractele-incheiate-cu-consumatorii?d=2021-06-1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doc.echr.coe.int/eng?i=001-70633" TargetMode="External"/><Relationship Id="rId5" Type="http://schemas.openxmlformats.org/officeDocument/2006/relationships/webSettings" Target="webSettings.xml"/><Relationship Id="rId15" Type="http://schemas.openxmlformats.org/officeDocument/2006/relationships/hyperlink" Target="https://lege5.ro/App/Document/gi3diojrgm/directiva-privind-drepturile-consumatorilor-de-modificare-a-directivei-93-13-cee-a-consiliului-si-a-directivei-1999-44-ce-a-parlamentului-european-si-a-consiliului-si-de-abrogare-a-directivei-85-577-c?d=2021-06-10"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lege5.ro/App/Document/gi3dsnjwgm/directiva-nr-7-1997-privind-protectia-consumatorilor-in-cazul-contractelor-la-distanta?d=2021-06-1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dulcivil.ro/art-1279-promisiunea-de-a-contract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007B8-505D-42AA-A886-0CA917FA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212</Pages>
  <Words>114890</Words>
  <Characters>654874</Characters>
  <Application>Microsoft Office Word</Application>
  <DocSecurity>0</DocSecurity>
  <Lines>5457</Lines>
  <Paragraphs>1536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768228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Ghiţă (Badea) Roxana</dc:creator>
  <cp:keywords/>
  <dc:description/>
  <cp:lastModifiedBy>Bogasiu Gabriela Elena</cp:lastModifiedBy>
  <cp:revision>103</cp:revision>
  <cp:lastPrinted>2021-10-08T08:02:00Z</cp:lastPrinted>
  <dcterms:created xsi:type="dcterms:W3CDTF">2020-10-19T07:36:00Z</dcterms:created>
  <dcterms:modified xsi:type="dcterms:W3CDTF">2021-10-08T12:55:00Z</dcterms:modified>
</cp:coreProperties>
</file>