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71" w:rsidRPr="00DC6471" w:rsidRDefault="00DC6471" w:rsidP="00DC647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R O M Â N I A</w:t>
      </w:r>
    </w:p>
    <w:p w:rsidR="00DC6471" w:rsidRPr="00DC6471" w:rsidRDefault="00DC6471" w:rsidP="00DC647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ÎNALTA  CURTE DE CASAŢIE ŞI JUSTIŢIE</w:t>
      </w:r>
    </w:p>
    <w:p w:rsidR="00DC6471" w:rsidRPr="00DC6471" w:rsidRDefault="00DC6471" w:rsidP="00DC647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SECŢIILE UNITE</w:t>
      </w:r>
    </w:p>
    <w:p w:rsidR="00DC6471" w:rsidRPr="00DC6471" w:rsidRDefault="00DC6471" w:rsidP="00DC647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ro-RO"/>
        </w:rPr>
      </w:pPr>
      <w:bookmarkStart w:id="0" w:name="_GoBack"/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Şedinţa din 13 octombrie 2008</w:t>
      </w:r>
      <w:bookmarkEnd w:id="0"/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, ora 9</w:t>
      </w:r>
      <w:r w:rsidRPr="00DC6471">
        <w:rPr>
          <w:rFonts w:eastAsia="Times New Roman" w:cs="Times New Roman"/>
          <w:b/>
          <w:bCs/>
          <w:sz w:val="24"/>
          <w:szCs w:val="24"/>
          <w:vertAlign w:val="superscript"/>
          <w:lang w:eastAsia="ro-RO"/>
        </w:rPr>
        <w:t>00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 xml:space="preserve">1. Dosar nr. 25/2008 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 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 xml:space="preserve">Cu privire la modalitatea de stabilire a pedepsei ce urmează a fi executată în cazul în care instanţa este învestită prin acelaşi act de sesizare cu judecarea a două infracţiuni intenţionate săvârşite de acelaşi inculpat, din care una anterior, iar cealaltă ulterior rămânerii definitive a hotărârii de condamnare cu suspendarea condiţionată a executării pedepsei.                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2. Dosar nr. 26/2008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Sesizarea colegiului de conducere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al Curţii de Apel Bacău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 xml:space="preserve">Cu privire la modalitatea de stabilire a pedepsei ce urmează a fi executată în cazul în care instanţa este învestită prin acelaşi act de sesizare cu judecarea a două infracţiuni intenţionate săvârşite de acelaşi inculpat, din care una anterior, iar cealaltă ulterior rămânerii definitive a hotărârii de condamnare cu suspendarea condiţionată a executării pedepsei.                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 xml:space="preserve">3. Dosar nr. 28/2008 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>Cu privire la aplicarea dispoziţiilor legale privind competenţa instanţei penale învestită cu judecarea infracţiunilor reglementate de Legea nr. 59/1934 privind cecul, cu modificările ulterioare, de a soluţiona acţiunea civilă alăturată celei penale.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4. Dosar nr. 29/2008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>Cu privire la admisibilitatea plângerii formulate în condiţiile art. 278</w:t>
      </w:r>
      <w:r w:rsidRPr="00DC6471">
        <w:rPr>
          <w:rFonts w:eastAsia="Times New Roman" w:cs="Times New Roman"/>
          <w:sz w:val="24"/>
          <w:szCs w:val="24"/>
          <w:vertAlign w:val="superscript"/>
          <w:lang w:eastAsia="ro-RO"/>
        </w:rPr>
        <w:t>1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 din Codul de procedură penală prin care se solicită de către persoana faţă de care s-a dispus netrimiterea în judecată, </w:t>
      </w:r>
      <w:r w:rsidRPr="00DC6471">
        <w:rPr>
          <w:rFonts w:eastAsia="Times New Roman" w:cs="Times New Roman"/>
          <w:sz w:val="24"/>
          <w:szCs w:val="24"/>
          <w:lang w:eastAsia="ro-RO"/>
        </w:rPr>
        <w:lastRenderedPageBreak/>
        <w:t>schimbarea temeiului de drept al soluţiei dispusă prin rezoluţia sau ordonanţa ori dispoziţia cuprinsă în rechizitoriu, soluţie pronunţată în temeiul art. 278</w:t>
      </w:r>
      <w:r w:rsidRPr="00DC6471">
        <w:rPr>
          <w:rFonts w:eastAsia="Times New Roman" w:cs="Times New Roman"/>
          <w:sz w:val="24"/>
          <w:szCs w:val="24"/>
          <w:vertAlign w:val="superscript"/>
          <w:lang w:eastAsia="ro-RO"/>
        </w:rPr>
        <w:t>1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 alin. 8 din Codul de procedură penală.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5. Dosar nr. 23/2008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  <w:r w:rsidRPr="00DC6471">
        <w:rPr>
          <w:rFonts w:eastAsia="Times New Roman" w:cs="Times New Roman"/>
          <w:sz w:val="24"/>
          <w:szCs w:val="24"/>
          <w:lang w:eastAsia="ro-RO"/>
        </w:rPr>
        <w:t>                   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>În legătură cu aplicarea dispoziţiilor art. 14</w:t>
      </w:r>
      <w:r w:rsidRPr="00DC6471">
        <w:rPr>
          <w:rFonts w:eastAsia="Times New Roman" w:cs="Times New Roman"/>
          <w:sz w:val="24"/>
          <w:szCs w:val="24"/>
          <w:vertAlign w:val="superscript"/>
          <w:lang w:eastAsia="ro-RO"/>
        </w:rPr>
        <w:t>1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 raportate la dispoziţiile art. 13 şi art. 14 din Legea nr. 44/1994 privind veteranii de război, precum şi unele drepturi ale invalizilor şi văduvelor de război, republicată, astfel cum a fost completată prin Ordonanţa de Urgenţă a Guvernului nr. 12/2004, aprobată prin Legea nr. 210/2004 referitoare la recalcularea rentei veteranilor de război, cărora le-au fost acordate ordine şi medalii pentru faptele de arme săvârşite pe câmpul de luptă, începând cu luna martie 2004.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6. Dosar nr. 24/2008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>Cu privire la aplicarea dispoziţiilor art. 374</w:t>
      </w:r>
      <w:r w:rsidRPr="00DC6471">
        <w:rPr>
          <w:rFonts w:eastAsia="Times New Roman" w:cs="Times New Roman"/>
          <w:sz w:val="24"/>
          <w:szCs w:val="24"/>
          <w:vertAlign w:val="superscript"/>
          <w:lang w:eastAsia="ro-RO"/>
        </w:rPr>
        <w:t>1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 din Codul de procedură civilă, astfel cum au fost introduse prin Legea nr. 459/2006, raportate la prevederile art. 61 din Legea nr. 58/1934 asupra cambiei şi biletului la ordin şi ale art. 53 din Legea nr. 59/1934 asupra cecului, referitor la învestirea cu formulă executorie a cambiei, biletului la ordin şi cecului.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b/>
          <w:bCs/>
          <w:sz w:val="24"/>
          <w:szCs w:val="24"/>
          <w:lang w:eastAsia="ro-RO"/>
        </w:rPr>
        <w:t>7. Dosar nr. 27/2008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i/>
          <w:iCs/>
          <w:sz w:val="24"/>
          <w:szCs w:val="24"/>
          <w:lang w:eastAsia="ro-RO"/>
        </w:rPr>
        <w:t>Recurs în interesul legii</w:t>
      </w:r>
      <w:r w:rsidRPr="00DC6471">
        <w:rPr>
          <w:rFonts w:eastAsia="Times New Roman" w:cs="Times New Roman"/>
          <w:sz w:val="24"/>
          <w:szCs w:val="24"/>
          <w:lang w:eastAsia="ro-RO"/>
        </w:rPr>
        <w:t xml:space="preserve">                    </w:t>
      </w:r>
      <w:r w:rsidRPr="00DC6471">
        <w:rPr>
          <w:rFonts w:eastAsia="Times New Roman" w:cs="Times New Roman"/>
          <w:sz w:val="24"/>
          <w:szCs w:val="24"/>
          <w:lang w:eastAsia="ro-RO"/>
        </w:rPr>
        <w:tab/>
        <w:t>În legătură cu acordarea sporului de confidenţialitate judecătorilor, procurorilor şi personalului auxiliar de specialitate din cadrul instanţelor judecătoreşti şi parchetelor de pe lângă acestea.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DC6471" w:rsidRPr="00DC6471" w:rsidRDefault="00DC6471" w:rsidP="00DC6471">
      <w:pPr>
        <w:spacing w:after="0" w:line="240" w:lineRule="auto"/>
        <w:ind w:left="4320" w:hanging="4320"/>
        <w:jc w:val="both"/>
        <w:rPr>
          <w:rFonts w:eastAsia="Times New Roman" w:cs="Times New Roman"/>
          <w:sz w:val="24"/>
          <w:szCs w:val="24"/>
          <w:lang w:val="en-US" w:eastAsia="ro-RO"/>
        </w:rPr>
      </w:pPr>
      <w:r w:rsidRPr="00DC6471">
        <w:rPr>
          <w:rFonts w:eastAsia="Times New Roman" w:cs="Times New Roman"/>
          <w:sz w:val="24"/>
          <w:szCs w:val="24"/>
          <w:lang w:eastAsia="ro-RO"/>
        </w:rPr>
        <w:t> </w:t>
      </w:r>
    </w:p>
    <w:p w:rsidR="00FC150F" w:rsidRPr="00DC6471" w:rsidRDefault="00FC150F">
      <w:pPr>
        <w:rPr>
          <w:sz w:val="24"/>
          <w:szCs w:val="24"/>
        </w:rPr>
      </w:pPr>
    </w:p>
    <w:sectPr w:rsidR="00FC150F" w:rsidRPr="00DC6471" w:rsidSect="00DC6471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B4" w:rsidRDefault="008515B4" w:rsidP="00DC6471">
      <w:pPr>
        <w:spacing w:after="0" w:line="240" w:lineRule="auto"/>
      </w:pPr>
      <w:r>
        <w:separator/>
      </w:r>
    </w:p>
  </w:endnote>
  <w:endnote w:type="continuationSeparator" w:id="0">
    <w:p w:rsidR="008515B4" w:rsidRDefault="008515B4" w:rsidP="00DC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984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471" w:rsidRDefault="00DC64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6471" w:rsidRDefault="00DC6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B4" w:rsidRDefault="008515B4" w:rsidP="00DC6471">
      <w:pPr>
        <w:spacing w:after="0" w:line="240" w:lineRule="auto"/>
      </w:pPr>
      <w:r>
        <w:separator/>
      </w:r>
    </w:p>
  </w:footnote>
  <w:footnote w:type="continuationSeparator" w:id="0">
    <w:p w:rsidR="008515B4" w:rsidRDefault="008515B4" w:rsidP="00DC6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71"/>
    <w:rsid w:val="008515B4"/>
    <w:rsid w:val="00DC6471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71"/>
  </w:style>
  <w:style w:type="paragraph" w:styleId="Footer">
    <w:name w:val="footer"/>
    <w:basedOn w:val="Normal"/>
    <w:link w:val="FooterChar"/>
    <w:uiPriority w:val="99"/>
    <w:unhideWhenUsed/>
    <w:rsid w:val="00DC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71"/>
  </w:style>
  <w:style w:type="paragraph" w:styleId="Footer">
    <w:name w:val="footer"/>
    <w:basedOn w:val="Normal"/>
    <w:link w:val="FooterChar"/>
    <w:uiPriority w:val="99"/>
    <w:unhideWhenUsed/>
    <w:rsid w:val="00DC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G.F.</dc:creator>
  <cp:lastModifiedBy>G.F.</cp:lastModifiedBy>
  <cp:revision>1</cp:revision>
  <dcterms:created xsi:type="dcterms:W3CDTF">2014-05-12T06:27:00Z</dcterms:created>
  <dcterms:modified xsi:type="dcterms:W3CDTF">2014-05-12T06:29:00Z</dcterms:modified>
</cp:coreProperties>
</file>